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8E66D1" w:rsidRDefault="00233EE5" w:rsidP="00FE77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FE33EA" w:rsidRDefault="00FE33EA" w:rsidP="005F2260">
      <w:pPr>
        <w:shd w:val="clear" w:color="auto" w:fill="D9D9D9" w:themeFill="background1" w:themeFillShade="D9"/>
        <w:spacing w:line="360" w:lineRule="auto"/>
        <w:jc w:val="lowKashida"/>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CB6E1D" w:rsidRDefault="00CB6E1D" w:rsidP="00FE33EA">
      <w:pPr>
        <w:shd w:val="clear" w:color="auto" w:fill="D9D9D9" w:themeFill="background1" w:themeFillShade="D9"/>
        <w:spacing w:line="360" w:lineRule="auto"/>
        <w:ind w:firstLine="720"/>
        <w:jc w:val="lowKashida"/>
        <w:rPr>
          <w:rFonts w:ascii="Tahoma" w:hAnsi="Tahoma"/>
          <w:b/>
          <w:bCs/>
          <w:sz w:val="24"/>
          <w:rtl/>
        </w:rPr>
      </w:pPr>
      <w:r>
        <w:rPr>
          <w:rFonts w:ascii="Tahoma" w:hAnsi="Tahoma" w:hint="cs"/>
          <w:b/>
          <w:bCs/>
          <w:sz w:val="24"/>
          <w:rtl/>
        </w:rPr>
        <w:t>مصادیق عقل در اصول عامه</w:t>
      </w:r>
    </w:p>
    <w:p w:rsidR="00A30646" w:rsidRDefault="002E27D2" w:rsidP="006D1209">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فتج الذرائع</w:t>
      </w:r>
    </w:p>
    <w:p w:rsidR="003B43CF" w:rsidRDefault="003B43CF" w:rsidP="000C6B1B">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0C6B1B">
        <w:rPr>
          <w:rFonts w:ascii="Tahoma" w:hAnsi="Tahoma" w:hint="cs"/>
          <w:b/>
          <w:bCs/>
          <w:sz w:val="24"/>
          <w:rtl/>
        </w:rPr>
        <w:t>دو</w:t>
      </w:r>
      <w:r w:rsidR="0068004E">
        <w:rPr>
          <w:rFonts w:ascii="Tahoma" w:hAnsi="Tahoma" w:hint="cs"/>
          <w:b/>
          <w:bCs/>
          <w:sz w:val="24"/>
          <w:rtl/>
        </w:rPr>
        <w:t>م</w:t>
      </w:r>
      <w:r w:rsidRPr="00EC1398">
        <w:rPr>
          <w:rFonts w:ascii="Tahoma" w:hAnsi="Tahoma"/>
          <w:b/>
          <w:bCs/>
          <w:sz w:val="24"/>
          <w:rtl/>
        </w:rPr>
        <w:t xml:space="preserve">_ </w:t>
      </w:r>
      <w:r w:rsidR="0088698E">
        <w:rPr>
          <w:rFonts w:ascii="Tahoma" w:hAnsi="Tahoma" w:hint="cs"/>
          <w:b/>
          <w:bCs/>
          <w:sz w:val="24"/>
          <w:rtl/>
        </w:rPr>
        <w:t>2</w:t>
      </w:r>
      <w:r w:rsidR="000C6B1B">
        <w:rPr>
          <w:rFonts w:ascii="Tahoma" w:hAnsi="Tahoma" w:hint="cs"/>
          <w:b/>
          <w:bCs/>
          <w:sz w:val="24"/>
          <w:rtl/>
        </w:rPr>
        <w:t>7</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0C6B1B" w:rsidRDefault="00FE33EA" w:rsidP="00E15625">
      <w:pPr>
        <w:spacing w:line="360" w:lineRule="auto"/>
        <w:jc w:val="lowKashida"/>
        <w:rPr>
          <w:rFonts w:ascii="Tahoma" w:hAnsi="Tahoma"/>
          <w:sz w:val="24"/>
          <w:rtl/>
        </w:rPr>
      </w:pPr>
      <w:r>
        <w:rPr>
          <w:rFonts w:ascii="Tahoma" w:hAnsi="Tahoma" w:hint="cs"/>
          <w:sz w:val="24"/>
          <w:rtl/>
        </w:rPr>
        <w:t>مرحوم شهید اول</w:t>
      </w:r>
      <w:r w:rsidR="00393DEC">
        <w:rPr>
          <w:rFonts w:ascii="Tahoma" w:hAnsi="Tahoma" w:hint="cs"/>
          <w:sz w:val="24"/>
          <w:rtl/>
        </w:rPr>
        <w:t xml:space="preserve"> قدس الله نفسه الزکیه</w:t>
      </w:r>
      <w:r>
        <w:rPr>
          <w:rFonts w:ascii="Tahoma" w:hAnsi="Tahoma" w:hint="cs"/>
          <w:sz w:val="24"/>
          <w:rtl/>
        </w:rPr>
        <w:t xml:space="preserve"> کتا</w:t>
      </w:r>
      <w:r w:rsidR="00393DEC">
        <w:rPr>
          <w:rFonts w:ascii="Tahoma" w:hAnsi="Tahoma" w:hint="cs"/>
          <w:sz w:val="24"/>
          <w:rtl/>
        </w:rPr>
        <w:t>بی دارند به نام القواعد و الفوائ</w:t>
      </w:r>
      <w:r>
        <w:rPr>
          <w:rFonts w:ascii="Tahoma" w:hAnsi="Tahoma" w:hint="cs"/>
          <w:sz w:val="24"/>
          <w:rtl/>
        </w:rPr>
        <w:t>د</w:t>
      </w:r>
      <w:r w:rsidR="00393DEC">
        <w:rPr>
          <w:rFonts w:ascii="Tahoma" w:hAnsi="Tahoma" w:hint="cs"/>
          <w:sz w:val="24"/>
          <w:rtl/>
        </w:rPr>
        <w:t>؛ در</w:t>
      </w:r>
      <w:r>
        <w:rPr>
          <w:rFonts w:ascii="Tahoma" w:hAnsi="Tahoma" w:hint="cs"/>
          <w:sz w:val="24"/>
          <w:rtl/>
        </w:rPr>
        <w:t xml:space="preserve"> صفحۀ 159 جلد دوم در طبع جدید قاعده 208: می فرمایند ذریعه 5 قسم است به اقسام احکام خمسه تکلیفی</w:t>
      </w:r>
      <w:r w:rsidR="00393DEC">
        <w:rPr>
          <w:rFonts w:ascii="Tahoma" w:hAnsi="Tahoma" w:hint="cs"/>
          <w:sz w:val="24"/>
          <w:rtl/>
        </w:rPr>
        <w:t xml:space="preserve">؛ </w:t>
      </w:r>
      <w:r>
        <w:rPr>
          <w:rFonts w:ascii="Tahoma" w:hAnsi="Tahoma" w:hint="cs"/>
          <w:sz w:val="24"/>
          <w:rtl/>
        </w:rPr>
        <w:t>چون ذریعه یعنی وسیله و این وسیله حکم مقصد را می گیرد، آن چه مقصد برای واجب باشد، واجب است. اما مثال همۀ این ها را ما یک مثال می</w:t>
      </w:r>
      <w:r w:rsidR="00393DEC">
        <w:rPr>
          <w:rFonts w:ascii="Tahoma" w:hAnsi="Tahoma" w:hint="cs"/>
          <w:sz w:val="24"/>
          <w:rtl/>
        </w:rPr>
        <w:t xml:space="preserve"> </w:t>
      </w:r>
      <w:r>
        <w:rPr>
          <w:rFonts w:ascii="Tahoma" w:hAnsi="Tahoma" w:hint="cs"/>
          <w:sz w:val="24"/>
          <w:rtl/>
        </w:rPr>
        <w:t>زنیم و حالات اش را تغییر می دهیم:</w:t>
      </w:r>
    </w:p>
    <w:p w:rsidR="00FE33EA" w:rsidRDefault="00FE33EA" w:rsidP="00E15625">
      <w:pPr>
        <w:spacing w:line="360" w:lineRule="auto"/>
        <w:jc w:val="lowKashida"/>
        <w:rPr>
          <w:rFonts w:ascii="Tahoma" w:hAnsi="Tahoma"/>
          <w:sz w:val="24"/>
          <w:rtl/>
        </w:rPr>
      </w:pPr>
      <w:r>
        <w:rPr>
          <w:rFonts w:ascii="Tahoma" w:hAnsi="Tahoma" w:hint="cs"/>
          <w:sz w:val="24"/>
          <w:rtl/>
        </w:rPr>
        <w:t>مثال احترام و تکریم ظالم:</w:t>
      </w:r>
    </w:p>
    <w:p w:rsidR="00FE33EA" w:rsidRDefault="00FE33EA" w:rsidP="00FE33EA">
      <w:pPr>
        <w:pStyle w:val="ListParagraph"/>
        <w:numPr>
          <w:ilvl w:val="0"/>
          <w:numId w:val="19"/>
        </w:numPr>
        <w:spacing w:line="360" w:lineRule="auto"/>
        <w:jc w:val="lowKashida"/>
        <w:rPr>
          <w:rFonts w:ascii="Tahoma" w:hAnsi="Tahoma"/>
          <w:sz w:val="24"/>
        </w:rPr>
      </w:pPr>
      <w:r>
        <w:rPr>
          <w:rFonts w:ascii="Tahoma" w:hAnsi="Tahoma" w:hint="cs"/>
          <w:sz w:val="24"/>
          <w:rtl/>
        </w:rPr>
        <w:t>گاهی تنها راه نج</w:t>
      </w:r>
      <w:r w:rsidR="00393DEC">
        <w:rPr>
          <w:rFonts w:ascii="Tahoma" w:hAnsi="Tahoma" w:hint="cs"/>
          <w:sz w:val="24"/>
          <w:rtl/>
        </w:rPr>
        <w:t>ات من و مال ام احترام و  تکریم ظ</w:t>
      </w:r>
      <w:r>
        <w:rPr>
          <w:rFonts w:ascii="Tahoma" w:hAnsi="Tahoma" w:hint="cs"/>
          <w:sz w:val="24"/>
          <w:rtl/>
        </w:rPr>
        <w:t>الم است که در این صورت این ذریعه واجب است.</w:t>
      </w:r>
    </w:p>
    <w:p w:rsidR="00FE33EA" w:rsidRDefault="00FE33EA" w:rsidP="00FE33EA">
      <w:pPr>
        <w:pStyle w:val="ListParagraph"/>
        <w:numPr>
          <w:ilvl w:val="0"/>
          <w:numId w:val="19"/>
        </w:numPr>
        <w:spacing w:line="360" w:lineRule="auto"/>
        <w:jc w:val="lowKashida"/>
        <w:rPr>
          <w:rFonts w:ascii="Tahoma" w:hAnsi="Tahoma"/>
          <w:sz w:val="24"/>
        </w:rPr>
      </w:pPr>
      <w:r>
        <w:rPr>
          <w:rFonts w:ascii="Tahoma" w:hAnsi="Tahoma" w:hint="cs"/>
          <w:sz w:val="24"/>
          <w:rtl/>
        </w:rPr>
        <w:t>مستحب: گاهی حسن خلق با ظالم خواهم داشت تا او هم با من با حُسن خلق عمل کند.</w:t>
      </w:r>
    </w:p>
    <w:p w:rsidR="00FE33EA" w:rsidRDefault="00FE33EA" w:rsidP="00FE33EA">
      <w:pPr>
        <w:pStyle w:val="ListParagraph"/>
        <w:numPr>
          <w:ilvl w:val="0"/>
          <w:numId w:val="19"/>
        </w:numPr>
        <w:spacing w:line="360" w:lineRule="auto"/>
        <w:jc w:val="lowKashida"/>
        <w:rPr>
          <w:rFonts w:ascii="Tahoma" w:hAnsi="Tahoma"/>
          <w:sz w:val="24"/>
        </w:rPr>
      </w:pPr>
      <w:r>
        <w:rPr>
          <w:rFonts w:ascii="Tahoma" w:hAnsi="Tahoma" w:hint="cs"/>
          <w:sz w:val="24"/>
          <w:rtl/>
        </w:rPr>
        <w:t xml:space="preserve">مکروه: آن جا که بحث دفع ضرر نیست ولی از جهت ترسو </w:t>
      </w:r>
      <w:r w:rsidR="00393DEC">
        <w:rPr>
          <w:rFonts w:ascii="Tahoma" w:hAnsi="Tahoma" w:hint="cs"/>
          <w:sz w:val="24"/>
          <w:rtl/>
        </w:rPr>
        <w:t>بودن است. احترامی می کند به یک ظ</w:t>
      </w:r>
      <w:r>
        <w:rPr>
          <w:rFonts w:ascii="Tahoma" w:hAnsi="Tahoma" w:hint="cs"/>
          <w:sz w:val="24"/>
          <w:rtl/>
        </w:rPr>
        <w:t xml:space="preserve">الم این </w:t>
      </w:r>
      <w:r w:rsidR="00393DEC">
        <w:rPr>
          <w:rFonts w:ascii="Tahoma" w:hAnsi="Tahoma" w:hint="cs"/>
          <w:sz w:val="24"/>
          <w:rtl/>
        </w:rPr>
        <w:t>م</w:t>
      </w:r>
      <w:r>
        <w:rPr>
          <w:rFonts w:ascii="Tahoma" w:hAnsi="Tahoma" w:hint="cs"/>
          <w:sz w:val="24"/>
          <w:rtl/>
        </w:rPr>
        <w:t>کروه است.</w:t>
      </w:r>
    </w:p>
    <w:p w:rsidR="00FE33EA" w:rsidRDefault="00393DEC" w:rsidP="00FE33EA">
      <w:pPr>
        <w:pStyle w:val="ListParagraph"/>
        <w:numPr>
          <w:ilvl w:val="0"/>
          <w:numId w:val="19"/>
        </w:numPr>
        <w:spacing w:line="360" w:lineRule="auto"/>
        <w:jc w:val="lowKashida"/>
        <w:rPr>
          <w:rFonts w:ascii="Tahoma" w:hAnsi="Tahoma"/>
          <w:sz w:val="24"/>
        </w:rPr>
      </w:pPr>
      <w:r>
        <w:rPr>
          <w:rFonts w:ascii="Tahoma" w:hAnsi="Tahoma" w:hint="cs"/>
          <w:sz w:val="24"/>
          <w:rtl/>
        </w:rPr>
        <w:t>حرام: آنجایی که احترا</w:t>
      </w:r>
      <w:r w:rsidR="00FE33EA">
        <w:rPr>
          <w:rFonts w:ascii="Tahoma" w:hAnsi="Tahoma" w:hint="cs"/>
          <w:sz w:val="24"/>
          <w:rtl/>
        </w:rPr>
        <w:t>م و تکریم من موجب اضافه شدن شر</w:t>
      </w:r>
      <w:r>
        <w:rPr>
          <w:rFonts w:ascii="Tahoma" w:hAnsi="Tahoma" w:hint="cs"/>
          <w:sz w:val="24"/>
          <w:rtl/>
        </w:rPr>
        <w:t>ّ</w:t>
      </w:r>
      <w:r w:rsidR="00FE33EA">
        <w:rPr>
          <w:rFonts w:ascii="Tahoma" w:hAnsi="Tahoma" w:hint="cs"/>
          <w:sz w:val="24"/>
          <w:rtl/>
        </w:rPr>
        <w:t xml:space="preserve"> او شود.</w:t>
      </w:r>
    </w:p>
    <w:p w:rsidR="00FE33EA" w:rsidRDefault="00FE33EA" w:rsidP="00FE33EA">
      <w:pPr>
        <w:pStyle w:val="ListParagraph"/>
        <w:numPr>
          <w:ilvl w:val="0"/>
          <w:numId w:val="19"/>
        </w:numPr>
        <w:spacing w:line="360" w:lineRule="auto"/>
        <w:jc w:val="lowKashida"/>
        <w:rPr>
          <w:rFonts w:ascii="Tahoma" w:hAnsi="Tahoma"/>
          <w:sz w:val="24"/>
        </w:rPr>
      </w:pPr>
      <w:r>
        <w:rPr>
          <w:rFonts w:ascii="Tahoma" w:hAnsi="Tahoma" w:hint="cs"/>
          <w:sz w:val="24"/>
          <w:rtl/>
        </w:rPr>
        <w:t>مباح : ما ادای این.</w:t>
      </w:r>
    </w:p>
    <w:p w:rsidR="00FE33EA" w:rsidRDefault="00FE33EA" w:rsidP="00FE33EA">
      <w:pPr>
        <w:spacing w:line="360" w:lineRule="auto"/>
        <w:jc w:val="lowKashida"/>
        <w:rPr>
          <w:rFonts w:ascii="Tahoma" w:hAnsi="Tahoma"/>
          <w:sz w:val="24"/>
          <w:rtl/>
        </w:rPr>
      </w:pPr>
      <w:r>
        <w:rPr>
          <w:rFonts w:ascii="Tahoma" w:hAnsi="Tahoma" w:hint="cs"/>
          <w:sz w:val="24"/>
          <w:rtl/>
        </w:rPr>
        <w:t>این را در کنار آن کلامی که از ابن قی</w:t>
      </w:r>
      <w:r w:rsidR="00393DEC">
        <w:rPr>
          <w:rFonts w:ascii="Tahoma" w:hAnsi="Tahoma" w:hint="cs"/>
          <w:sz w:val="24"/>
          <w:rtl/>
        </w:rPr>
        <w:t>ّ</w:t>
      </w:r>
      <w:r>
        <w:rPr>
          <w:rFonts w:ascii="Tahoma" w:hAnsi="Tahoma" w:hint="cs"/>
          <w:sz w:val="24"/>
          <w:rtl/>
        </w:rPr>
        <w:t>م نقل کردیم قرار دهید تا تقس</w:t>
      </w:r>
      <w:r w:rsidR="00393DEC">
        <w:rPr>
          <w:rFonts w:ascii="Tahoma" w:hAnsi="Tahoma" w:hint="cs"/>
          <w:sz w:val="24"/>
          <w:rtl/>
        </w:rPr>
        <w:t xml:space="preserve">یم بندی ها روشن شود. گویا مرحوم </w:t>
      </w:r>
      <w:r>
        <w:rPr>
          <w:rFonts w:ascii="Tahoma" w:hAnsi="Tahoma" w:hint="cs"/>
          <w:sz w:val="24"/>
          <w:rtl/>
        </w:rPr>
        <w:t xml:space="preserve">شهید می خواهد بفرماید _و الله عالم_ که تکریم ظالم بما هو هو حکمی ندارد، باید با قیود و شروط حکم اس را بیان کنیم. حکمی را از آن مقصدی می گیرد که این تکریم وسیله برای آن مقصد است. </w:t>
      </w:r>
    </w:p>
    <w:p w:rsidR="00FE33EA" w:rsidRDefault="00FE33EA" w:rsidP="00FE33EA">
      <w:pPr>
        <w:spacing w:line="360" w:lineRule="auto"/>
        <w:jc w:val="lowKashida"/>
        <w:rPr>
          <w:rFonts w:ascii="Tahoma" w:hAnsi="Tahoma"/>
          <w:sz w:val="24"/>
          <w:rtl/>
        </w:rPr>
      </w:pPr>
      <w:r>
        <w:rPr>
          <w:rFonts w:ascii="Tahoma" w:hAnsi="Tahoma" w:hint="cs"/>
          <w:sz w:val="24"/>
          <w:rtl/>
        </w:rPr>
        <w:t>چنان که از دیروز در بحث فتح الذرائع و همین کلام مرحوم شهید واضح می شود در عنصر فتح الذرائع و سدها مثل دیگر پایه های اصول عامه رکن اساسی مصلحت و مفسده سنجی است، لذا برای اینکه یک جمع بندی نهایی صورت بگیرد، ما از کلام</w:t>
      </w:r>
      <w:r w:rsidR="00393DEC">
        <w:rPr>
          <w:rFonts w:ascii="Tahoma" w:hAnsi="Tahoma" w:hint="cs"/>
          <w:sz w:val="24"/>
          <w:rtl/>
        </w:rPr>
        <w:t xml:space="preserve"> عامه با همۀ اختلافاتی که دارند،</w:t>
      </w:r>
      <w:r>
        <w:rPr>
          <w:rFonts w:ascii="Tahoma" w:hAnsi="Tahoma" w:hint="cs"/>
          <w:sz w:val="24"/>
          <w:rtl/>
        </w:rPr>
        <w:t xml:space="preserve"> در بحث قیاس، استحسان، استصلاح و فتح الذرائع و سد</w:t>
      </w:r>
      <w:r w:rsidR="00393DEC">
        <w:rPr>
          <w:rFonts w:ascii="Tahoma" w:hAnsi="Tahoma" w:hint="cs"/>
          <w:sz w:val="24"/>
          <w:rtl/>
        </w:rPr>
        <w:t>ّ</w:t>
      </w:r>
      <w:r>
        <w:rPr>
          <w:rFonts w:ascii="Tahoma" w:hAnsi="Tahoma" w:hint="cs"/>
          <w:sz w:val="24"/>
          <w:rtl/>
        </w:rPr>
        <w:t>ها این جور برداشت می کنیم که اینها می خواهند بگویند فقیه باید در مو</w:t>
      </w:r>
      <w:r w:rsidR="00393DEC">
        <w:rPr>
          <w:rFonts w:ascii="Tahoma" w:hAnsi="Tahoma" w:hint="cs"/>
          <w:sz w:val="24"/>
          <w:rtl/>
        </w:rPr>
        <w:t>رادی به سنجش ملاکات رو</w:t>
      </w:r>
      <w:r w:rsidR="007F02A8">
        <w:rPr>
          <w:rFonts w:ascii="Tahoma" w:hAnsi="Tahoma" w:hint="cs"/>
          <w:sz w:val="24"/>
          <w:rtl/>
        </w:rPr>
        <w:t>ی بیاورد:</w:t>
      </w:r>
    </w:p>
    <w:p w:rsidR="007F02A8" w:rsidRDefault="007F02A8" w:rsidP="007F02A8">
      <w:pPr>
        <w:pStyle w:val="ListParagraph"/>
        <w:numPr>
          <w:ilvl w:val="0"/>
          <w:numId w:val="20"/>
        </w:numPr>
        <w:spacing w:line="360" w:lineRule="auto"/>
        <w:jc w:val="lowKashida"/>
        <w:rPr>
          <w:rFonts w:ascii="Tahoma" w:hAnsi="Tahoma"/>
          <w:sz w:val="24"/>
        </w:rPr>
      </w:pPr>
      <w:r>
        <w:rPr>
          <w:rFonts w:ascii="Tahoma" w:hAnsi="Tahoma" w:hint="cs"/>
          <w:sz w:val="24"/>
          <w:rtl/>
        </w:rPr>
        <w:t>چیزی که بعضی از حقوق دانان معاصر هم از آن تعبیر به قیاس آزاد کرده اند، منظور از قیاس آزاد آن جایی است که هیچ اصل و فرعی را در نظر نگیریم، بلکه مصالحی را بسنجیم، بر طبق عقل و به حکمی برسیم، به نظر ما آن چه گفته اند به نام قیاس آزاد، این همان استحسان است و به عبارت دیگر، استصلاح هم ممکن است همین باشد، یعنی عبارات گوناگون ولی یک مطلب را بگوید.</w:t>
      </w:r>
    </w:p>
    <w:p w:rsidR="007F02A8" w:rsidRDefault="007F02A8" w:rsidP="007F02A8">
      <w:pPr>
        <w:pStyle w:val="ListParagraph"/>
        <w:numPr>
          <w:ilvl w:val="0"/>
          <w:numId w:val="20"/>
        </w:numPr>
        <w:spacing w:line="360" w:lineRule="auto"/>
        <w:jc w:val="lowKashida"/>
        <w:rPr>
          <w:rFonts w:ascii="Tahoma" w:hAnsi="Tahoma"/>
          <w:sz w:val="24"/>
        </w:rPr>
      </w:pPr>
      <w:r>
        <w:rPr>
          <w:rFonts w:ascii="Tahoma" w:hAnsi="Tahoma" w:hint="cs"/>
          <w:sz w:val="24"/>
          <w:rtl/>
        </w:rPr>
        <w:lastRenderedPageBreak/>
        <w:t>قیاس کنیم با اصل و فرع. فقیه با یک سوال روبرو است که آیا قاضی می تواند در شدت تشنگی  و عطش در مسند قضاوت بنشیند یا نه؟</w:t>
      </w:r>
      <w:r w:rsidR="00470651">
        <w:rPr>
          <w:rFonts w:ascii="Tahoma" w:hAnsi="Tahoma" w:hint="cs"/>
          <w:sz w:val="24"/>
          <w:rtl/>
        </w:rPr>
        <w:t xml:space="preserve"> ممکن است دو جور جواب داده شود:</w:t>
      </w:r>
    </w:p>
    <w:p w:rsidR="00470651" w:rsidRDefault="00470651" w:rsidP="00470651">
      <w:pPr>
        <w:pStyle w:val="ListParagraph"/>
        <w:numPr>
          <w:ilvl w:val="1"/>
          <w:numId w:val="20"/>
        </w:numPr>
        <w:spacing w:line="360" w:lineRule="auto"/>
        <w:jc w:val="lowKashida"/>
        <w:rPr>
          <w:rFonts w:ascii="Tahoma" w:hAnsi="Tahoma"/>
          <w:sz w:val="24"/>
        </w:rPr>
      </w:pPr>
      <w:r>
        <w:rPr>
          <w:rFonts w:ascii="Tahoma" w:hAnsi="Tahoma" w:hint="cs"/>
          <w:sz w:val="24"/>
          <w:rtl/>
        </w:rPr>
        <w:t>بگوییم نصوصی داریم که قضاوت در حال غضب نباشد، بعد ب</w:t>
      </w:r>
      <w:r w:rsidR="00393DEC">
        <w:rPr>
          <w:rFonts w:ascii="Tahoma" w:hAnsi="Tahoma" w:hint="cs"/>
          <w:sz w:val="24"/>
          <w:rtl/>
        </w:rPr>
        <w:t>یاییم تنقیح مناط کنیم، آن چه با</w:t>
      </w:r>
      <w:r>
        <w:rPr>
          <w:rFonts w:ascii="Tahoma" w:hAnsi="Tahoma" w:hint="cs"/>
          <w:sz w:val="24"/>
          <w:rtl/>
        </w:rPr>
        <w:t>عث شده است قضاوت در حالت غضب جایز نبا</w:t>
      </w:r>
      <w:r w:rsidR="00393DEC">
        <w:rPr>
          <w:rFonts w:ascii="Tahoma" w:hAnsi="Tahoma" w:hint="cs"/>
          <w:sz w:val="24"/>
          <w:rtl/>
        </w:rPr>
        <w:t>شد خروج از حالت طبیعی است. در م</w:t>
      </w:r>
      <w:r>
        <w:rPr>
          <w:rFonts w:ascii="Tahoma" w:hAnsi="Tahoma" w:hint="cs"/>
          <w:sz w:val="24"/>
          <w:rtl/>
        </w:rPr>
        <w:t>و</w:t>
      </w:r>
      <w:r w:rsidR="00393DEC">
        <w:rPr>
          <w:rFonts w:ascii="Tahoma" w:hAnsi="Tahoma" w:hint="cs"/>
          <w:sz w:val="24"/>
          <w:rtl/>
        </w:rPr>
        <w:t>ر</w:t>
      </w:r>
      <w:r>
        <w:rPr>
          <w:rFonts w:ascii="Tahoma" w:hAnsi="Tahoma" w:hint="cs"/>
          <w:sz w:val="24"/>
          <w:rtl/>
        </w:rPr>
        <w:t>د فرع هم یعنی تشنگی شدید، قاضی از حالت طبیعی خارج است</w:t>
      </w:r>
      <w:r w:rsidR="00393DEC">
        <w:rPr>
          <w:rFonts w:ascii="Tahoma" w:hAnsi="Tahoma" w:hint="cs"/>
          <w:sz w:val="24"/>
          <w:rtl/>
        </w:rPr>
        <w:t>،</w:t>
      </w:r>
      <w:r>
        <w:rPr>
          <w:rFonts w:ascii="Tahoma" w:hAnsi="Tahoma" w:hint="cs"/>
          <w:sz w:val="24"/>
          <w:rtl/>
        </w:rPr>
        <w:t xml:space="preserve"> پس قضاوت جایز نیست.</w:t>
      </w:r>
    </w:p>
    <w:p w:rsidR="00470651" w:rsidRDefault="00470651" w:rsidP="00470651">
      <w:pPr>
        <w:pStyle w:val="ListParagraph"/>
        <w:numPr>
          <w:ilvl w:val="1"/>
          <w:numId w:val="20"/>
        </w:numPr>
        <w:spacing w:line="360" w:lineRule="auto"/>
        <w:jc w:val="lowKashida"/>
        <w:rPr>
          <w:rFonts w:ascii="Tahoma" w:hAnsi="Tahoma"/>
          <w:sz w:val="24"/>
        </w:rPr>
      </w:pPr>
      <w:r>
        <w:rPr>
          <w:rFonts w:ascii="Tahoma" w:hAnsi="Tahoma" w:hint="cs"/>
          <w:sz w:val="24"/>
          <w:rtl/>
        </w:rPr>
        <w:t>اما اگر در نصوص نداشتیم که قضاوت در حالت غضب جایز نیست، حالا به شما می گویند قضاوت د</w:t>
      </w:r>
      <w:r w:rsidR="00393DEC">
        <w:rPr>
          <w:rFonts w:ascii="Tahoma" w:hAnsi="Tahoma" w:hint="cs"/>
          <w:sz w:val="24"/>
          <w:rtl/>
        </w:rPr>
        <w:t>ر حالت تشنگی چه حکمی دارد، جواب</w:t>
      </w:r>
      <w:r>
        <w:rPr>
          <w:rFonts w:ascii="Tahoma" w:hAnsi="Tahoma" w:hint="cs"/>
          <w:sz w:val="24"/>
          <w:rtl/>
        </w:rPr>
        <w:t>ی که می دهند</w:t>
      </w:r>
      <w:r w:rsidR="00393DEC">
        <w:rPr>
          <w:rFonts w:ascii="Tahoma" w:hAnsi="Tahoma" w:hint="cs"/>
          <w:sz w:val="24"/>
          <w:rtl/>
        </w:rPr>
        <w:t xml:space="preserve"> </w:t>
      </w:r>
      <w:r>
        <w:rPr>
          <w:rFonts w:ascii="Tahoma" w:hAnsi="Tahoma" w:hint="cs"/>
          <w:sz w:val="24"/>
          <w:rtl/>
        </w:rPr>
        <w:t>این است که تشنگی و گرسنگی خصوصیتی ندارد، عقل می گوی</w:t>
      </w:r>
      <w:r w:rsidR="00393DEC">
        <w:rPr>
          <w:rFonts w:ascii="Tahoma" w:hAnsi="Tahoma" w:hint="cs"/>
          <w:sz w:val="24"/>
          <w:rtl/>
        </w:rPr>
        <w:t>د قضاوت وقتی مصلحت دارد که حالت،</w:t>
      </w:r>
      <w:r>
        <w:rPr>
          <w:rFonts w:ascii="Tahoma" w:hAnsi="Tahoma" w:hint="cs"/>
          <w:sz w:val="24"/>
          <w:rtl/>
        </w:rPr>
        <w:t xml:space="preserve"> حالت طبیعی باشد، چه در حالت تشنگی و چه در حالت غضب، حالت حالت طبیعی نیست. در این جا دیگر اصل و فرع نداریم و در هر دو مورد این ها مصالح و مفاسد را سنجیدند و حکم کردند.</w:t>
      </w:r>
    </w:p>
    <w:p w:rsidR="00470651" w:rsidRDefault="00393DEC" w:rsidP="00470651">
      <w:pPr>
        <w:pStyle w:val="ListParagraph"/>
        <w:numPr>
          <w:ilvl w:val="0"/>
          <w:numId w:val="20"/>
        </w:numPr>
        <w:spacing w:line="360" w:lineRule="auto"/>
        <w:jc w:val="lowKashida"/>
        <w:rPr>
          <w:rFonts w:ascii="Tahoma" w:hAnsi="Tahoma"/>
          <w:sz w:val="24"/>
        </w:rPr>
      </w:pPr>
      <w:r>
        <w:rPr>
          <w:rFonts w:ascii="Tahoma" w:hAnsi="Tahoma" w:hint="cs"/>
          <w:sz w:val="24"/>
          <w:rtl/>
        </w:rPr>
        <w:t>آن چه که در روایت أ</w:t>
      </w:r>
      <w:r w:rsidR="00470651">
        <w:rPr>
          <w:rFonts w:ascii="Tahoma" w:hAnsi="Tahoma" w:hint="cs"/>
          <w:sz w:val="24"/>
          <w:rtl/>
        </w:rPr>
        <w:t>بان بیان شد به نام قیاس که بیاییم با قیاس نفی کنیم نه اثبات حکم؛ بگوییم مفسده د</w:t>
      </w:r>
      <w:r>
        <w:rPr>
          <w:rFonts w:ascii="Tahoma" w:hAnsi="Tahoma" w:hint="cs"/>
          <w:sz w:val="24"/>
          <w:rtl/>
        </w:rPr>
        <w:t>ارد که قطع چهار انگشت دیه اش برابر دو انگش</w:t>
      </w:r>
      <w:r w:rsidR="00470651">
        <w:rPr>
          <w:rFonts w:ascii="Tahoma" w:hAnsi="Tahoma" w:hint="cs"/>
          <w:sz w:val="24"/>
          <w:rtl/>
        </w:rPr>
        <w:t>ت باشد، این مفسده دارد.</w:t>
      </w:r>
    </w:p>
    <w:p w:rsidR="00470651" w:rsidRDefault="00470651" w:rsidP="00470651">
      <w:pPr>
        <w:pStyle w:val="ListParagraph"/>
        <w:spacing w:line="360" w:lineRule="auto"/>
        <w:jc w:val="lowKashida"/>
        <w:rPr>
          <w:rFonts w:ascii="Tahoma" w:hAnsi="Tahoma"/>
          <w:sz w:val="24"/>
          <w:rtl/>
        </w:rPr>
      </w:pPr>
      <w:r>
        <w:rPr>
          <w:rFonts w:ascii="Tahoma" w:hAnsi="Tahoma" w:hint="cs"/>
          <w:sz w:val="24"/>
          <w:rtl/>
        </w:rPr>
        <w:t>در این سومی هم پایه ی اساسی سنجش مصالح و مفاسد است.</w:t>
      </w:r>
    </w:p>
    <w:p w:rsidR="00470651" w:rsidRDefault="00470651" w:rsidP="00470651">
      <w:pPr>
        <w:pStyle w:val="ListParagraph"/>
        <w:numPr>
          <w:ilvl w:val="0"/>
          <w:numId w:val="20"/>
        </w:numPr>
        <w:spacing w:line="360" w:lineRule="auto"/>
        <w:jc w:val="lowKashida"/>
        <w:rPr>
          <w:rFonts w:ascii="Tahoma" w:hAnsi="Tahoma"/>
          <w:sz w:val="24"/>
        </w:rPr>
      </w:pPr>
      <w:r>
        <w:rPr>
          <w:rFonts w:ascii="Tahoma" w:hAnsi="Tahoma" w:hint="cs"/>
          <w:sz w:val="24"/>
          <w:rtl/>
        </w:rPr>
        <w:t>آن چه که عده ایی در تعریف استحسان گفتند؛ استحسان یعنی تمسک به اقوی الدلیین و</w:t>
      </w:r>
      <w:r w:rsidR="00393DEC">
        <w:rPr>
          <w:rFonts w:ascii="Tahoma" w:hAnsi="Tahoma" w:hint="cs"/>
          <w:sz w:val="24"/>
          <w:rtl/>
        </w:rPr>
        <w:t xml:space="preserve"> </w:t>
      </w:r>
      <w:r>
        <w:rPr>
          <w:rFonts w:ascii="Tahoma" w:hAnsi="Tahoma" w:hint="cs"/>
          <w:sz w:val="24"/>
          <w:rtl/>
        </w:rPr>
        <w:t>در هنگام توض</w:t>
      </w:r>
      <w:r w:rsidR="00393DEC">
        <w:rPr>
          <w:rFonts w:ascii="Tahoma" w:hAnsi="Tahoma" w:hint="cs"/>
          <w:sz w:val="24"/>
          <w:rtl/>
        </w:rPr>
        <w:t>یح اقوائیت، پای مصالح و مفاسد ر</w:t>
      </w:r>
      <w:r>
        <w:rPr>
          <w:rFonts w:ascii="Tahoma" w:hAnsi="Tahoma" w:hint="cs"/>
          <w:sz w:val="24"/>
          <w:rtl/>
        </w:rPr>
        <w:t>ا</w:t>
      </w:r>
      <w:r w:rsidR="00393DEC">
        <w:rPr>
          <w:rFonts w:ascii="Tahoma" w:hAnsi="Tahoma" w:hint="cs"/>
          <w:sz w:val="24"/>
          <w:rtl/>
        </w:rPr>
        <w:t xml:space="preserve"> </w:t>
      </w:r>
      <w:r>
        <w:rPr>
          <w:rFonts w:ascii="Tahoma" w:hAnsi="Tahoma" w:hint="cs"/>
          <w:sz w:val="24"/>
          <w:rtl/>
        </w:rPr>
        <w:t>پیش کشیدند، پی باز استحسان عامه رکن اش شد، سنجش مصلحت و مفاسد.</w:t>
      </w:r>
    </w:p>
    <w:p w:rsidR="00470651" w:rsidRDefault="00470651" w:rsidP="00470651">
      <w:pPr>
        <w:pStyle w:val="ListParagraph"/>
        <w:numPr>
          <w:ilvl w:val="0"/>
          <w:numId w:val="20"/>
        </w:numPr>
        <w:spacing w:line="360" w:lineRule="auto"/>
        <w:jc w:val="lowKashida"/>
        <w:rPr>
          <w:rFonts w:ascii="Tahoma" w:hAnsi="Tahoma"/>
          <w:sz w:val="24"/>
        </w:rPr>
      </w:pPr>
      <w:r>
        <w:rPr>
          <w:rFonts w:ascii="Tahoma" w:hAnsi="Tahoma" w:hint="cs"/>
          <w:sz w:val="24"/>
          <w:rtl/>
        </w:rPr>
        <w:t>آنچه که برخی از عامه در تعریف استحسان آورده اند ما حسّنه العقل. این هم باز روشن است که مصالح و ملاکات را می سنجد به ملاک عقل.</w:t>
      </w:r>
    </w:p>
    <w:p w:rsidR="00470651" w:rsidRDefault="00470651" w:rsidP="00470651">
      <w:pPr>
        <w:pStyle w:val="ListParagraph"/>
        <w:numPr>
          <w:ilvl w:val="0"/>
          <w:numId w:val="20"/>
        </w:numPr>
        <w:spacing w:line="360" w:lineRule="auto"/>
        <w:jc w:val="lowKashida"/>
        <w:rPr>
          <w:rFonts w:ascii="Tahoma" w:hAnsi="Tahoma"/>
          <w:sz w:val="24"/>
        </w:rPr>
      </w:pPr>
      <w:r>
        <w:rPr>
          <w:rFonts w:ascii="Tahoma" w:hAnsi="Tahoma" w:hint="cs"/>
          <w:sz w:val="24"/>
          <w:rtl/>
        </w:rPr>
        <w:t>آنچه که به نام مصالح مرسله و استصلاح مطرح بود که مثال زدند به آن جایی که دشمن اسراء مسلمین را سپر قرار بدهن</w:t>
      </w:r>
      <w:r w:rsidR="00393DEC">
        <w:rPr>
          <w:rFonts w:ascii="Tahoma" w:hAnsi="Tahoma" w:hint="cs"/>
          <w:sz w:val="24"/>
          <w:rtl/>
        </w:rPr>
        <w:t>د، هیچ راهی هم نباشد الّا به همی</w:t>
      </w:r>
      <w:r>
        <w:rPr>
          <w:rFonts w:ascii="Tahoma" w:hAnsi="Tahoma" w:hint="cs"/>
          <w:sz w:val="24"/>
          <w:rtl/>
        </w:rPr>
        <w:t>ن اسرای مسلم، مصلحت دارد این حکم. باز اینجا هم پای سنجش مصالح و مفاسد آمده است به میان.</w:t>
      </w:r>
    </w:p>
    <w:p w:rsidR="00470651" w:rsidRDefault="00470651" w:rsidP="00470651">
      <w:pPr>
        <w:pStyle w:val="ListParagraph"/>
        <w:numPr>
          <w:ilvl w:val="0"/>
          <w:numId w:val="20"/>
        </w:numPr>
        <w:spacing w:line="360" w:lineRule="auto"/>
        <w:jc w:val="lowKashida"/>
        <w:rPr>
          <w:rFonts w:ascii="Tahoma" w:hAnsi="Tahoma"/>
          <w:sz w:val="24"/>
        </w:rPr>
      </w:pPr>
      <w:r w:rsidRPr="00470651">
        <w:rPr>
          <w:rFonts w:ascii="Tahoma" w:hAnsi="Tahoma" w:hint="cs"/>
          <w:sz w:val="24"/>
          <w:rtl/>
        </w:rPr>
        <w:t>همین فتح الذرائع و سدها که می خواستید، از حکم ذو</w:t>
      </w:r>
      <w:r w:rsidR="00393DEC">
        <w:rPr>
          <w:rFonts w:ascii="Tahoma" w:hAnsi="Tahoma" w:hint="cs"/>
          <w:sz w:val="24"/>
          <w:rtl/>
        </w:rPr>
        <w:t xml:space="preserve"> </w:t>
      </w:r>
      <w:r w:rsidRPr="00470651">
        <w:rPr>
          <w:rFonts w:ascii="Tahoma" w:hAnsi="Tahoma" w:hint="cs"/>
          <w:sz w:val="24"/>
          <w:rtl/>
        </w:rPr>
        <w:t xml:space="preserve">ذریعه به حکم خود ذریعه برسید، می دیدید که آن مقصدی که مصلحت دارد، راهی برای رسیدن به </w:t>
      </w:r>
      <w:r>
        <w:rPr>
          <w:rFonts w:ascii="Tahoma" w:hAnsi="Tahoma" w:hint="cs"/>
          <w:sz w:val="24"/>
          <w:rtl/>
        </w:rPr>
        <w:t xml:space="preserve">آن </w:t>
      </w:r>
      <w:r w:rsidR="00393DEC">
        <w:rPr>
          <w:rFonts w:ascii="Tahoma" w:hAnsi="Tahoma" w:hint="cs"/>
          <w:sz w:val="24"/>
          <w:rtl/>
        </w:rPr>
        <w:t>مقصد که مصلحت یا مفسده دارد نیست</w:t>
      </w:r>
      <w:r>
        <w:rPr>
          <w:rFonts w:ascii="Tahoma" w:hAnsi="Tahoma" w:hint="cs"/>
          <w:sz w:val="24"/>
          <w:rtl/>
        </w:rPr>
        <w:t xml:space="preserve"> الا این ذریعه، آن وقت باز سراغ فتح الذرائع یا سدها می آمدیم. یعنی این جا چون این راه رسیدن به آن مصلحت این است پس این هم دارای مصلحت است یا بالعکس.</w:t>
      </w:r>
    </w:p>
    <w:p w:rsidR="00470651" w:rsidRDefault="00470651" w:rsidP="00470651">
      <w:pPr>
        <w:spacing w:line="360" w:lineRule="auto"/>
        <w:jc w:val="lowKashida"/>
        <w:rPr>
          <w:rFonts w:ascii="Tahoma" w:hAnsi="Tahoma"/>
          <w:sz w:val="24"/>
          <w:rtl/>
        </w:rPr>
      </w:pPr>
      <w:r w:rsidRPr="00470651">
        <w:rPr>
          <w:rFonts w:ascii="Tahoma" w:hAnsi="Tahoma" w:hint="cs"/>
          <w:sz w:val="24"/>
          <w:rtl/>
        </w:rPr>
        <w:t>آنچه که عرض می کنم این است که آن چه فقهای عامه را وادار به طرح این عناصر کرده است این بوده است که در مواردی دست شان از قرآن و سنت خوشان کوتاه بوده است، ناچار به مصلحت سنجی بودند، این مصلحت سنجی ر ابا اختلافاتی که گفتیم انجام داده اند. آن چه که وجه اشتراک همه عامه</w:t>
      </w:r>
      <w:r w:rsidR="00393DEC">
        <w:rPr>
          <w:rFonts w:ascii="Tahoma" w:hAnsi="Tahoma" w:hint="cs"/>
          <w:sz w:val="24"/>
          <w:rtl/>
        </w:rPr>
        <w:t xml:space="preserve"> با همه اختلافات شان در این عنا</w:t>
      </w:r>
      <w:r w:rsidRPr="00470651">
        <w:rPr>
          <w:rFonts w:ascii="Tahoma" w:hAnsi="Tahoma" w:hint="cs"/>
          <w:sz w:val="24"/>
          <w:rtl/>
        </w:rPr>
        <w:t>صر است این است که به نحوی باید پای سنجش مصالح و مفاسد در میان باشد. حال این که چگون</w:t>
      </w:r>
      <w:r w:rsidR="00FF798B">
        <w:rPr>
          <w:rFonts w:ascii="Tahoma" w:hAnsi="Tahoma" w:hint="cs"/>
          <w:sz w:val="24"/>
          <w:rtl/>
        </w:rPr>
        <w:t>ه و کجا،</w:t>
      </w:r>
      <w:r w:rsidRPr="00470651">
        <w:rPr>
          <w:rFonts w:ascii="Tahoma" w:hAnsi="Tahoma" w:hint="cs"/>
          <w:sz w:val="24"/>
          <w:rtl/>
        </w:rPr>
        <w:t xml:space="preserve"> با یک دیگر یکسان نیست.</w:t>
      </w:r>
    </w:p>
    <w:p w:rsidR="00FF798B" w:rsidRDefault="00FF798B" w:rsidP="00470651">
      <w:pPr>
        <w:spacing w:line="360" w:lineRule="auto"/>
        <w:jc w:val="lowKashida"/>
        <w:rPr>
          <w:rFonts w:ascii="Tahoma" w:hAnsi="Tahoma"/>
          <w:sz w:val="24"/>
          <w:rtl/>
        </w:rPr>
      </w:pPr>
      <w:r>
        <w:rPr>
          <w:rFonts w:ascii="Tahoma" w:hAnsi="Tahoma" w:hint="cs"/>
          <w:sz w:val="24"/>
          <w:rtl/>
        </w:rPr>
        <w:lastRenderedPageBreak/>
        <w:t>اما آن چه که نظر ما در این مورد است، به نظر می رسد اصل لزوم سنجش مصالح و مفاسد قابل انکار برای فقیه شیعه هم نیست، منتها باید دید:</w:t>
      </w:r>
    </w:p>
    <w:p w:rsidR="00FF798B" w:rsidRDefault="00FF798B" w:rsidP="00FF798B">
      <w:pPr>
        <w:pStyle w:val="ListParagraph"/>
        <w:numPr>
          <w:ilvl w:val="0"/>
          <w:numId w:val="21"/>
        </w:numPr>
        <w:spacing w:line="360" w:lineRule="auto"/>
        <w:jc w:val="lowKashida"/>
        <w:rPr>
          <w:rFonts w:ascii="Tahoma" w:hAnsi="Tahoma"/>
          <w:sz w:val="24"/>
        </w:rPr>
      </w:pPr>
      <w:r>
        <w:rPr>
          <w:rFonts w:ascii="Tahoma" w:hAnsi="Tahoma" w:hint="cs"/>
          <w:sz w:val="24"/>
          <w:rtl/>
        </w:rPr>
        <w:t>چگونه به این مصالح و مفاسد برسیم؟ راه رسیدن به مصلحت و مفسد چیست؟</w:t>
      </w:r>
    </w:p>
    <w:p w:rsidR="00FF798B" w:rsidRDefault="00FF798B" w:rsidP="00FF798B">
      <w:pPr>
        <w:pStyle w:val="ListParagraph"/>
        <w:numPr>
          <w:ilvl w:val="0"/>
          <w:numId w:val="21"/>
        </w:numPr>
        <w:spacing w:line="360" w:lineRule="auto"/>
        <w:jc w:val="lowKashida"/>
        <w:rPr>
          <w:rFonts w:ascii="Tahoma" w:hAnsi="Tahoma"/>
          <w:sz w:val="24"/>
        </w:rPr>
      </w:pPr>
      <w:r>
        <w:rPr>
          <w:rFonts w:ascii="Tahoma" w:hAnsi="Tahoma" w:hint="cs"/>
          <w:sz w:val="24"/>
          <w:rtl/>
        </w:rPr>
        <w:t>در کیفیت دخالت عنصر سنجش در استنباط؛ آیا این سنجش دلیل است یا روش؟ یعنی در کنار قرآن و سنت و عقل یکی هم این است یا نه روشی برای فهم ادله ی دیگر است؟</w:t>
      </w:r>
    </w:p>
    <w:p w:rsidR="00FF798B" w:rsidRDefault="00FF798B" w:rsidP="00FF798B">
      <w:pPr>
        <w:spacing w:line="360" w:lineRule="auto"/>
        <w:jc w:val="lowKashida"/>
        <w:rPr>
          <w:rFonts w:ascii="Tahoma" w:hAnsi="Tahoma"/>
          <w:sz w:val="24"/>
          <w:rtl/>
        </w:rPr>
      </w:pPr>
      <w:r>
        <w:rPr>
          <w:rFonts w:ascii="Tahoma" w:hAnsi="Tahoma" w:hint="cs"/>
          <w:sz w:val="24"/>
          <w:rtl/>
        </w:rPr>
        <w:t>اما آنچه که در مرحله اول باید بگوییم به این که مصالح و مفاسد را از کجا باید تشخیص داد؟ آیا فقط عقل یا نه؟</w:t>
      </w:r>
    </w:p>
    <w:p w:rsidR="00FF798B" w:rsidRDefault="00FF798B" w:rsidP="00FF798B">
      <w:pPr>
        <w:spacing w:line="360" w:lineRule="auto"/>
        <w:jc w:val="lowKashida"/>
        <w:rPr>
          <w:rFonts w:ascii="Tahoma" w:hAnsi="Tahoma"/>
          <w:sz w:val="24"/>
          <w:rtl/>
        </w:rPr>
      </w:pPr>
      <w:r>
        <w:rPr>
          <w:rFonts w:ascii="Tahoma" w:hAnsi="Tahoma" w:hint="cs"/>
          <w:sz w:val="24"/>
          <w:rtl/>
        </w:rPr>
        <w:t>به نظر ما چهار منبع ب</w:t>
      </w:r>
      <w:r w:rsidR="00272A35">
        <w:rPr>
          <w:rFonts w:ascii="Tahoma" w:hAnsi="Tahoma" w:hint="cs"/>
          <w:sz w:val="24"/>
          <w:rtl/>
        </w:rPr>
        <w:t>رای فقیه است که با دیدن این پنج</w:t>
      </w:r>
      <w:r>
        <w:rPr>
          <w:rFonts w:ascii="Tahoma" w:hAnsi="Tahoma" w:hint="cs"/>
          <w:sz w:val="24"/>
          <w:rtl/>
        </w:rPr>
        <w:t xml:space="preserve"> منبع می تواند، به ملاک سنجی روی بیاورد:</w:t>
      </w:r>
    </w:p>
    <w:p w:rsidR="00FF798B" w:rsidRDefault="00FF798B" w:rsidP="00FF798B">
      <w:pPr>
        <w:pStyle w:val="ListParagraph"/>
        <w:numPr>
          <w:ilvl w:val="0"/>
          <w:numId w:val="22"/>
        </w:numPr>
        <w:spacing w:line="360" w:lineRule="auto"/>
        <w:jc w:val="lowKashida"/>
        <w:rPr>
          <w:rFonts w:ascii="Tahoma" w:hAnsi="Tahoma"/>
          <w:sz w:val="24"/>
        </w:rPr>
      </w:pPr>
      <w:r>
        <w:rPr>
          <w:rFonts w:ascii="Tahoma" w:hAnsi="Tahoma" w:hint="cs"/>
          <w:sz w:val="24"/>
          <w:rtl/>
        </w:rPr>
        <w:t>آیات و روایاتی که بیان گر روح شریعت و کلیات احکام فقهیه اند، مثل سمحه و سهله بودن شریعت</w:t>
      </w:r>
    </w:p>
    <w:p w:rsidR="00FF798B" w:rsidRDefault="00FF798B" w:rsidP="00FF798B">
      <w:pPr>
        <w:pStyle w:val="ListParagraph"/>
        <w:numPr>
          <w:ilvl w:val="0"/>
          <w:numId w:val="22"/>
        </w:numPr>
        <w:spacing w:line="360" w:lineRule="auto"/>
        <w:jc w:val="lowKashida"/>
        <w:rPr>
          <w:rFonts w:ascii="Tahoma" w:hAnsi="Tahoma"/>
          <w:sz w:val="24"/>
        </w:rPr>
      </w:pPr>
      <w:r>
        <w:rPr>
          <w:rFonts w:ascii="Tahoma" w:hAnsi="Tahoma" w:hint="cs"/>
          <w:sz w:val="24"/>
          <w:rtl/>
        </w:rPr>
        <w:t xml:space="preserve">آیات و روایاتی که مقاصد شریعت را بیان می کند، مثل </w:t>
      </w:r>
      <w:r w:rsidR="00581DF8">
        <w:rPr>
          <w:rFonts w:ascii="Tahoma" w:hAnsi="Tahoma" w:hint="cs"/>
          <w:sz w:val="24"/>
          <w:rtl/>
        </w:rPr>
        <w:t>«</w:t>
      </w:r>
      <w:r>
        <w:rPr>
          <w:rFonts w:ascii="Tahoma" w:hAnsi="Tahoma" w:hint="cs"/>
          <w:sz w:val="24"/>
          <w:rtl/>
        </w:rPr>
        <w:t>إنّ</w:t>
      </w:r>
      <w:r w:rsidR="00581DF8">
        <w:rPr>
          <w:rFonts w:ascii="Tahoma" w:hAnsi="Tahoma" w:hint="cs"/>
          <w:sz w:val="24"/>
          <w:rtl/>
        </w:rPr>
        <w:t>َ</w:t>
      </w:r>
      <w:r>
        <w:rPr>
          <w:rFonts w:ascii="Tahoma" w:hAnsi="Tahoma" w:hint="cs"/>
          <w:sz w:val="24"/>
          <w:rtl/>
        </w:rPr>
        <w:t xml:space="preserve"> الله</w:t>
      </w:r>
      <w:r w:rsidR="00581DF8">
        <w:rPr>
          <w:rFonts w:ascii="Tahoma" w:hAnsi="Tahoma" w:hint="cs"/>
          <w:sz w:val="24"/>
          <w:rtl/>
        </w:rPr>
        <w:t>َ</w:t>
      </w:r>
      <w:r>
        <w:rPr>
          <w:rFonts w:ascii="Tahoma" w:hAnsi="Tahoma" w:hint="cs"/>
          <w:sz w:val="24"/>
          <w:rtl/>
        </w:rPr>
        <w:t xml:space="preserve"> ی</w:t>
      </w:r>
      <w:r w:rsidR="00581DF8">
        <w:rPr>
          <w:rFonts w:ascii="Tahoma" w:hAnsi="Tahoma" w:hint="cs"/>
          <w:sz w:val="24"/>
          <w:rtl/>
        </w:rPr>
        <w:t>َأ</w:t>
      </w:r>
      <w:r>
        <w:rPr>
          <w:rFonts w:ascii="Tahoma" w:hAnsi="Tahoma" w:hint="cs"/>
          <w:sz w:val="24"/>
          <w:rtl/>
        </w:rPr>
        <w:t>م</w:t>
      </w:r>
      <w:r w:rsidR="00581DF8">
        <w:rPr>
          <w:rFonts w:ascii="Tahoma" w:hAnsi="Tahoma" w:hint="cs"/>
          <w:sz w:val="24"/>
          <w:rtl/>
        </w:rPr>
        <w:t>ُ</w:t>
      </w:r>
      <w:r>
        <w:rPr>
          <w:rFonts w:ascii="Tahoma" w:hAnsi="Tahoma" w:hint="cs"/>
          <w:sz w:val="24"/>
          <w:rtl/>
        </w:rPr>
        <w:t>ر</w:t>
      </w:r>
      <w:r w:rsidR="00581DF8">
        <w:rPr>
          <w:rFonts w:ascii="Tahoma" w:hAnsi="Tahoma" w:hint="cs"/>
          <w:sz w:val="24"/>
          <w:rtl/>
        </w:rPr>
        <w:t>ُ</w:t>
      </w:r>
      <w:r>
        <w:rPr>
          <w:rFonts w:ascii="Tahoma" w:hAnsi="Tahoma" w:hint="cs"/>
          <w:sz w:val="24"/>
          <w:rtl/>
        </w:rPr>
        <w:t xml:space="preserve"> ب</w:t>
      </w:r>
      <w:r w:rsidR="00581DF8">
        <w:rPr>
          <w:rFonts w:ascii="Tahoma" w:hAnsi="Tahoma" w:hint="cs"/>
          <w:sz w:val="24"/>
          <w:rtl/>
        </w:rPr>
        <w:t>ِ</w:t>
      </w:r>
      <w:r>
        <w:rPr>
          <w:rFonts w:ascii="Tahoma" w:hAnsi="Tahoma" w:hint="cs"/>
          <w:sz w:val="24"/>
          <w:rtl/>
        </w:rPr>
        <w:t>الع</w:t>
      </w:r>
      <w:r w:rsidR="00581DF8">
        <w:rPr>
          <w:rFonts w:ascii="Tahoma" w:hAnsi="Tahoma" w:hint="cs"/>
          <w:sz w:val="24"/>
          <w:rtl/>
        </w:rPr>
        <w:t>َ</w:t>
      </w:r>
      <w:r>
        <w:rPr>
          <w:rFonts w:ascii="Tahoma" w:hAnsi="Tahoma" w:hint="cs"/>
          <w:sz w:val="24"/>
          <w:rtl/>
        </w:rPr>
        <w:t>دل</w:t>
      </w:r>
      <w:r w:rsidR="00581DF8">
        <w:rPr>
          <w:rFonts w:ascii="Tahoma" w:hAnsi="Tahoma" w:hint="cs"/>
          <w:sz w:val="24"/>
          <w:rtl/>
        </w:rPr>
        <w:t>ِ</w:t>
      </w:r>
      <w:r>
        <w:rPr>
          <w:rFonts w:ascii="Tahoma" w:hAnsi="Tahoma" w:hint="cs"/>
          <w:sz w:val="24"/>
          <w:rtl/>
        </w:rPr>
        <w:t xml:space="preserve"> و</w:t>
      </w:r>
      <w:r w:rsidR="00581DF8">
        <w:rPr>
          <w:rFonts w:ascii="Tahoma" w:hAnsi="Tahoma" w:hint="cs"/>
          <w:sz w:val="24"/>
          <w:rtl/>
        </w:rPr>
        <w:t>َ الإ</w:t>
      </w:r>
      <w:r>
        <w:rPr>
          <w:rFonts w:ascii="Tahoma" w:hAnsi="Tahoma" w:hint="cs"/>
          <w:sz w:val="24"/>
          <w:rtl/>
        </w:rPr>
        <w:t>حس</w:t>
      </w:r>
      <w:r w:rsidR="00581DF8">
        <w:rPr>
          <w:rFonts w:ascii="Tahoma" w:hAnsi="Tahoma" w:hint="cs"/>
          <w:sz w:val="24"/>
          <w:rtl/>
        </w:rPr>
        <w:t>َ</w:t>
      </w:r>
      <w:r>
        <w:rPr>
          <w:rFonts w:ascii="Tahoma" w:hAnsi="Tahoma" w:hint="cs"/>
          <w:sz w:val="24"/>
          <w:rtl/>
        </w:rPr>
        <w:t>ان</w:t>
      </w:r>
      <w:r w:rsidR="00581DF8">
        <w:rPr>
          <w:rFonts w:ascii="Tahoma" w:hAnsi="Tahoma" w:hint="cs"/>
          <w:sz w:val="24"/>
          <w:rtl/>
        </w:rPr>
        <w:t>ِ»</w:t>
      </w:r>
      <w:r w:rsidR="00581DF8">
        <w:rPr>
          <w:rStyle w:val="FootnoteReference"/>
          <w:rFonts w:ascii="Tahoma" w:hAnsi="Tahoma"/>
          <w:sz w:val="24"/>
          <w:rtl/>
        </w:rPr>
        <w:footnoteReference w:id="1"/>
      </w:r>
      <w:r>
        <w:rPr>
          <w:rFonts w:ascii="Tahoma" w:hAnsi="Tahoma" w:hint="cs"/>
          <w:sz w:val="24"/>
          <w:rtl/>
        </w:rPr>
        <w:t xml:space="preserve"> یا </w:t>
      </w:r>
      <w:r w:rsidR="00581DF8">
        <w:rPr>
          <w:rFonts w:ascii="Tahoma" w:hAnsi="Tahoma" w:hint="cs"/>
          <w:sz w:val="24"/>
          <w:rtl/>
        </w:rPr>
        <w:t>«</w:t>
      </w:r>
      <w:r>
        <w:rPr>
          <w:rFonts w:ascii="Tahoma" w:hAnsi="Tahoma" w:hint="cs"/>
          <w:sz w:val="24"/>
          <w:rtl/>
        </w:rPr>
        <w:t>ل</w:t>
      </w:r>
      <w:r w:rsidR="00581DF8">
        <w:rPr>
          <w:rFonts w:ascii="Tahoma" w:hAnsi="Tahoma" w:hint="cs"/>
          <w:sz w:val="24"/>
          <w:rtl/>
        </w:rPr>
        <w:t>ِ</w:t>
      </w:r>
      <w:r>
        <w:rPr>
          <w:rFonts w:ascii="Tahoma" w:hAnsi="Tahoma" w:hint="cs"/>
          <w:sz w:val="24"/>
          <w:rtl/>
        </w:rPr>
        <w:t>ی</w:t>
      </w:r>
      <w:r w:rsidR="00581DF8">
        <w:rPr>
          <w:rFonts w:ascii="Tahoma" w:hAnsi="Tahoma" w:hint="cs"/>
          <w:sz w:val="24"/>
          <w:rtl/>
        </w:rPr>
        <w:t>َ</w:t>
      </w:r>
      <w:r>
        <w:rPr>
          <w:rFonts w:ascii="Tahoma" w:hAnsi="Tahoma" w:hint="cs"/>
          <w:sz w:val="24"/>
          <w:rtl/>
        </w:rPr>
        <w:t>ق</w:t>
      </w:r>
      <w:r w:rsidR="00581DF8">
        <w:rPr>
          <w:rFonts w:ascii="Tahoma" w:hAnsi="Tahoma" w:hint="cs"/>
          <w:sz w:val="24"/>
          <w:rtl/>
        </w:rPr>
        <w:t>ُ</w:t>
      </w:r>
      <w:r>
        <w:rPr>
          <w:rFonts w:ascii="Tahoma" w:hAnsi="Tahoma" w:hint="cs"/>
          <w:sz w:val="24"/>
          <w:rtl/>
        </w:rPr>
        <w:t>وم</w:t>
      </w:r>
      <w:r w:rsidR="00581DF8">
        <w:rPr>
          <w:rFonts w:ascii="Tahoma" w:hAnsi="Tahoma" w:hint="cs"/>
          <w:sz w:val="24"/>
          <w:rtl/>
        </w:rPr>
        <w:t>َ</w:t>
      </w:r>
      <w:r>
        <w:rPr>
          <w:rFonts w:ascii="Tahoma" w:hAnsi="Tahoma" w:hint="cs"/>
          <w:sz w:val="24"/>
          <w:rtl/>
        </w:rPr>
        <w:t xml:space="preserve"> الن</w:t>
      </w:r>
      <w:r w:rsidR="00581DF8">
        <w:rPr>
          <w:rFonts w:ascii="Tahoma" w:hAnsi="Tahoma" w:hint="cs"/>
          <w:sz w:val="24"/>
          <w:rtl/>
        </w:rPr>
        <w:t>َّ</w:t>
      </w:r>
      <w:r>
        <w:rPr>
          <w:rFonts w:ascii="Tahoma" w:hAnsi="Tahoma" w:hint="cs"/>
          <w:sz w:val="24"/>
          <w:rtl/>
        </w:rPr>
        <w:t>اس</w:t>
      </w:r>
      <w:r w:rsidR="00581DF8">
        <w:rPr>
          <w:rFonts w:ascii="Tahoma" w:hAnsi="Tahoma" w:hint="cs"/>
          <w:sz w:val="24"/>
          <w:rtl/>
        </w:rPr>
        <w:t>ُ</w:t>
      </w:r>
      <w:r>
        <w:rPr>
          <w:rFonts w:ascii="Tahoma" w:hAnsi="Tahoma" w:hint="cs"/>
          <w:sz w:val="24"/>
          <w:rtl/>
        </w:rPr>
        <w:t xml:space="preserve"> ب</w:t>
      </w:r>
      <w:r w:rsidR="00581DF8">
        <w:rPr>
          <w:rFonts w:ascii="Tahoma" w:hAnsi="Tahoma" w:hint="cs"/>
          <w:sz w:val="24"/>
          <w:rtl/>
        </w:rPr>
        <w:t>ِ</w:t>
      </w:r>
      <w:r>
        <w:rPr>
          <w:rFonts w:ascii="Tahoma" w:hAnsi="Tahoma" w:hint="cs"/>
          <w:sz w:val="24"/>
          <w:rtl/>
        </w:rPr>
        <w:t>الق</w:t>
      </w:r>
      <w:r w:rsidR="00581DF8">
        <w:rPr>
          <w:rFonts w:ascii="Tahoma" w:hAnsi="Tahoma" w:hint="cs"/>
          <w:sz w:val="24"/>
          <w:rtl/>
        </w:rPr>
        <w:t>ِ</w:t>
      </w:r>
      <w:r>
        <w:rPr>
          <w:rFonts w:ascii="Tahoma" w:hAnsi="Tahoma" w:hint="cs"/>
          <w:sz w:val="24"/>
          <w:rtl/>
        </w:rPr>
        <w:t>سط</w:t>
      </w:r>
      <w:r w:rsidR="00581DF8">
        <w:rPr>
          <w:rFonts w:ascii="Tahoma" w:hAnsi="Tahoma" w:hint="cs"/>
          <w:sz w:val="24"/>
          <w:rtl/>
        </w:rPr>
        <w:t>ِ»</w:t>
      </w:r>
      <w:r w:rsidR="00581DF8">
        <w:rPr>
          <w:rStyle w:val="FootnoteReference"/>
          <w:rFonts w:ascii="Tahoma" w:hAnsi="Tahoma"/>
          <w:sz w:val="24"/>
          <w:rtl/>
        </w:rPr>
        <w:footnoteReference w:id="2"/>
      </w:r>
      <w:r>
        <w:rPr>
          <w:rFonts w:ascii="Tahoma" w:hAnsi="Tahoma" w:hint="cs"/>
          <w:sz w:val="24"/>
          <w:rtl/>
        </w:rPr>
        <w:t>. اصل عدالت به عنوان مقصدی از مقاصد شریعت مقدسة</w:t>
      </w:r>
      <w:r w:rsidR="00581DF8">
        <w:rPr>
          <w:rFonts w:ascii="Tahoma" w:hAnsi="Tahoma" w:hint="cs"/>
          <w:sz w:val="24"/>
          <w:rtl/>
        </w:rPr>
        <w:t xml:space="preserve"> بیان شده است.</w:t>
      </w:r>
    </w:p>
    <w:p w:rsidR="00FF798B" w:rsidRDefault="00FF798B" w:rsidP="00FF798B">
      <w:pPr>
        <w:pStyle w:val="ListParagraph"/>
        <w:numPr>
          <w:ilvl w:val="0"/>
          <w:numId w:val="22"/>
        </w:numPr>
        <w:spacing w:line="360" w:lineRule="auto"/>
        <w:jc w:val="lowKashida"/>
        <w:rPr>
          <w:rFonts w:ascii="Tahoma" w:hAnsi="Tahoma"/>
          <w:sz w:val="24"/>
        </w:rPr>
      </w:pPr>
      <w:r>
        <w:rPr>
          <w:rFonts w:ascii="Tahoma" w:hAnsi="Tahoma" w:hint="cs"/>
          <w:sz w:val="24"/>
          <w:rtl/>
        </w:rPr>
        <w:t>آیات و</w:t>
      </w:r>
      <w:r w:rsidR="00581DF8">
        <w:rPr>
          <w:rFonts w:ascii="Tahoma" w:hAnsi="Tahoma" w:hint="cs"/>
          <w:sz w:val="24"/>
          <w:rtl/>
        </w:rPr>
        <w:t xml:space="preserve"> روایاتی</w:t>
      </w:r>
      <w:r>
        <w:rPr>
          <w:rFonts w:ascii="Tahoma" w:hAnsi="Tahoma" w:hint="cs"/>
          <w:sz w:val="24"/>
          <w:rtl/>
        </w:rPr>
        <w:t xml:space="preserve"> که </w:t>
      </w:r>
      <w:r w:rsidR="00581DF8">
        <w:rPr>
          <w:rFonts w:ascii="Tahoma" w:hAnsi="Tahoma" w:hint="cs"/>
          <w:sz w:val="24"/>
          <w:rtl/>
        </w:rPr>
        <w:t>حکم فرعی را بیان کرده است ولی د</w:t>
      </w:r>
      <w:r>
        <w:rPr>
          <w:rFonts w:ascii="Tahoma" w:hAnsi="Tahoma" w:hint="cs"/>
          <w:sz w:val="24"/>
          <w:rtl/>
        </w:rPr>
        <w:t>ر ذیل آن آیه یا روایت تعلیلی مشاهده می شود</w:t>
      </w:r>
      <w:r w:rsidR="00581DF8">
        <w:rPr>
          <w:rFonts w:ascii="Tahoma" w:hAnsi="Tahoma" w:hint="cs"/>
          <w:sz w:val="24"/>
          <w:rtl/>
        </w:rPr>
        <w:t>:</w:t>
      </w:r>
      <w:r>
        <w:rPr>
          <w:rFonts w:ascii="Tahoma" w:hAnsi="Tahoma" w:hint="cs"/>
          <w:sz w:val="24"/>
          <w:rtl/>
        </w:rPr>
        <w:t xml:space="preserve"> </w:t>
      </w:r>
      <w:r w:rsidR="00581DF8">
        <w:rPr>
          <w:rFonts w:ascii="Tahoma" w:hAnsi="Tahoma" w:hint="cs"/>
          <w:sz w:val="24"/>
          <w:rtl/>
        </w:rPr>
        <w:t>«إِ</w:t>
      </w:r>
      <w:r>
        <w:rPr>
          <w:rFonts w:ascii="Tahoma" w:hAnsi="Tahoma" w:hint="cs"/>
          <w:sz w:val="24"/>
          <w:rtl/>
        </w:rPr>
        <w:t>ن</w:t>
      </w:r>
      <w:r w:rsidR="00581DF8">
        <w:rPr>
          <w:rFonts w:ascii="Tahoma" w:hAnsi="Tahoma" w:hint="cs"/>
          <w:sz w:val="24"/>
          <w:rtl/>
        </w:rPr>
        <w:t>َّ</w:t>
      </w:r>
      <w:r>
        <w:rPr>
          <w:rFonts w:ascii="Tahoma" w:hAnsi="Tahoma" w:hint="cs"/>
          <w:sz w:val="24"/>
          <w:rtl/>
        </w:rPr>
        <w:t>ما الخ</w:t>
      </w:r>
      <w:r w:rsidR="00581DF8">
        <w:rPr>
          <w:rFonts w:ascii="Tahoma" w:hAnsi="Tahoma" w:hint="cs"/>
          <w:sz w:val="24"/>
          <w:rtl/>
        </w:rPr>
        <w:t>َ</w:t>
      </w:r>
      <w:r>
        <w:rPr>
          <w:rFonts w:ascii="Tahoma" w:hAnsi="Tahoma" w:hint="cs"/>
          <w:sz w:val="24"/>
          <w:rtl/>
        </w:rPr>
        <w:t>مر</w:t>
      </w:r>
      <w:r w:rsidR="00581DF8">
        <w:rPr>
          <w:rFonts w:ascii="Tahoma" w:hAnsi="Tahoma" w:hint="cs"/>
          <w:sz w:val="24"/>
          <w:rtl/>
        </w:rPr>
        <w:t>ُ</w:t>
      </w:r>
      <w:r>
        <w:rPr>
          <w:rFonts w:ascii="Tahoma" w:hAnsi="Tahoma" w:hint="cs"/>
          <w:sz w:val="24"/>
          <w:rtl/>
        </w:rPr>
        <w:t xml:space="preserve"> و</w:t>
      </w:r>
      <w:r w:rsidR="00581DF8">
        <w:rPr>
          <w:rFonts w:ascii="Tahoma" w:hAnsi="Tahoma" w:hint="cs"/>
          <w:sz w:val="24"/>
          <w:rtl/>
        </w:rPr>
        <w:t>َ</w:t>
      </w:r>
      <w:r>
        <w:rPr>
          <w:rFonts w:ascii="Tahoma" w:hAnsi="Tahoma" w:hint="cs"/>
          <w:sz w:val="24"/>
          <w:rtl/>
        </w:rPr>
        <w:t xml:space="preserve"> الم</w:t>
      </w:r>
      <w:r w:rsidR="00581DF8">
        <w:rPr>
          <w:rFonts w:ascii="Tahoma" w:hAnsi="Tahoma" w:hint="cs"/>
          <w:sz w:val="24"/>
          <w:rtl/>
        </w:rPr>
        <w:t>َ</w:t>
      </w:r>
      <w:r>
        <w:rPr>
          <w:rFonts w:ascii="Tahoma" w:hAnsi="Tahoma" w:hint="cs"/>
          <w:sz w:val="24"/>
          <w:rtl/>
        </w:rPr>
        <w:t>یس</w:t>
      </w:r>
      <w:r w:rsidR="00581DF8">
        <w:rPr>
          <w:rFonts w:ascii="Tahoma" w:hAnsi="Tahoma" w:hint="cs"/>
          <w:sz w:val="24"/>
          <w:rtl/>
        </w:rPr>
        <w:t>ِ</w:t>
      </w:r>
      <w:r>
        <w:rPr>
          <w:rFonts w:ascii="Tahoma" w:hAnsi="Tahoma" w:hint="cs"/>
          <w:sz w:val="24"/>
          <w:rtl/>
        </w:rPr>
        <w:t>ر</w:t>
      </w:r>
      <w:r w:rsidR="00581DF8">
        <w:rPr>
          <w:rFonts w:ascii="Tahoma" w:hAnsi="Tahoma" w:hint="cs"/>
          <w:sz w:val="24"/>
          <w:rtl/>
        </w:rPr>
        <w:t>ُ</w:t>
      </w:r>
      <w:r>
        <w:rPr>
          <w:rFonts w:ascii="Tahoma" w:hAnsi="Tahoma" w:hint="cs"/>
          <w:sz w:val="24"/>
          <w:rtl/>
        </w:rPr>
        <w:t xml:space="preserve"> و</w:t>
      </w:r>
      <w:r w:rsidR="00581DF8">
        <w:rPr>
          <w:rFonts w:ascii="Tahoma" w:hAnsi="Tahoma" w:hint="cs"/>
          <w:sz w:val="24"/>
          <w:rtl/>
        </w:rPr>
        <w:t>َ الأَ</w:t>
      </w:r>
      <w:r>
        <w:rPr>
          <w:rFonts w:ascii="Tahoma" w:hAnsi="Tahoma" w:hint="cs"/>
          <w:sz w:val="24"/>
          <w:rtl/>
        </w:rPr>
        <w:t>نص</w:t>
      </w:r>
      <w:r w:rsidR="00581DF8">
        <w:rPr>
          <w:rFonts w:ascii="Tahoma" w:hAnsi="Tahoma" w:hint="cs"/>
          <w:sz w:val="24"/>
          <w:rtl/>
        </w:rPr>
        <w:t>َ</w:t>
      </w:r>
      <w:r>
        <w:rPr>
          <w:rFonts w:ascii="Tahoma" w:hAnsi="Tahoma" w:hint="cs"/>
          <w:sz w:val="24"/>
          <w:rtl/>
        </w:rPr>
        <w:t>اب</w:t>
      </w:r>
      <w:r w:rsidR="00581DF8">
        <w:rPr>
          <w:rFonts w:ascii="Tahoma" w:hAnsi="Tahoma" w:hint="cs"/>
          <w:sz w:val="24"/>
          <w:rtl/>
        </w:rPr>
        <w:t>ُ</w:t>
      </w:r>
      <w:r>
        <w:rPr>
          <w:rFonts w:ascii="Tahoma" w:hAnsi="Tahoma" w:hint="cs"/>
          <w:sz w:val="24"/>
          <w:rtl/>
        </w:rPr>
        <w:t xml:space="preserve"> و</w:t>
      </w:r>
      <w:r w:rsidR="00581DF8">
        <w:rPr>
          <w:rFonts w:ascii="Tahoma" w:hAnsi="Tahoma" w:hint="cs"/>
          <w:sz w:val="24"/>
          <w:rtl/>
        </w:rPr>
        <w:t>َ الأَ</w:t>
      </w:r>
      <w:r>
        <w:rPr>
          <w:rFonts w:ascii="Tahoma" w:hAnsi="Tahoma" w:hint="cs"/>
          <w:sz w:val="24"/>
          <w:rtl/>
        </w:rPr>
        <w:t>زل</w:t>
      </w:r>
      <w:r w:rsidR="00581DF8">
        <w:rPr>
          <w:rFonts w:ascii="Tahoma" w:hAnsi="Tahoma" w:hint="cs"/>
          <w:sz w:val="24"/>
          <w:rtl/>
        </w:rPr>
        <w:t>َ</w:t>
      </w:r>
      <w:r>
        <w:rPr>
          <w:rFonts w:ascii="Tahoma" w:hAnsi="Tahoma" w:hint="cs"/>
          <w:sz w:val="24"/>
          <w:rtl/>
        </w:rPr>
        <w:t>ام</w:t>
      </w:r>
      <w:r w:rsidR="00581DF8">
        <w:rPr>
          <w:rFonts w:ascii="Tahoma" w:hAnsi="Tahoma" w:hint="cs"/>
          <w:sz w:val="24"/>
          <w:rtl/>
        </w:rPr>
        <w:t>ُ</w:t>
      </w:r>
      <w:r>
        <w:rPr>
          <w:rFonts w:ascii="Tahoma" w:hAnsi="Tahoma" w:hint="cs"/>
          <w:sz w:val="24"/>
          <w:rtl/>
        </w:rPr>
        <w:t xml:space="preserve"> ر</w:t>
      </w:r>
      <w:r w:rsidR="00581DF8">
        <w:rPr>
          <w:rFonts w:ascii="Tahoma" w:hAnsi="Tahoma" w:hint="cs"/>
          <w:sz w:val="24"/>
          <w:rtl/>
        </w:rPr>
        <w:t>ِ</w:t>
      </w:r>
      <w:r>
        <w:rPr>
          <w:rFonts w:ascii="Tahoma" w:hAnsi="Tahoma" w:hint="cs"/>
          <w:sz w:val="24"/>
          <w:rtl/>
        </w:rPr>
        <w:t>جس</w:t>
      </w:r>
      <w:r w:rsidR="00581DF8">
        <w:rPr>
          <w:rFonts w:ascii="Tahoma" w:hAnsi="Tahoma" w:hint="cs"/>
          <w:sz w:val="24"/>
          <w:rtl/>
        </w:rPr>
        <w:t>ٌ</w:t>
      </w:r>
      <w:r>
        <w:rPr>
          <w:rFonts w:ascii="Tahoma" w:hAnsi="Tahoma" w:hint="cs"/>
          <w:sz w:val="24"/>
          <w:rtl/>
        </w:rPr>
        <w:t xml:space="preserve"> م</w:t>
      </w:r>
      <w:r w:rsidR="00581DF8">
        <w:rPr>
          <w:rFonts w:ascii="Tahoma" w:hAnsi="Tahoma" w:hint="cs"/>
          <w:sz w:val="24"/>
          <w:rtl/>
        </w:rPr>
        <w:t>ِ</w:t>
      </w:r>
      <w:r>
        <w:rPr>
          <w:rFonts w:ascii="Tahoma" w:hAnsi="Tahoma" w:hint="cs"/>
          <w:sz w:val="24"/>
          <w:rtl/>
        </w:rPr>
        <w:t>ن ع</w:t>
      </w:r>
      <w:r w:rsidR="00581DF8">
        <w:rPr>
          <w:rFonts w:ascii="Tahoma" w:hAnsi="Tahoma" w:hint="cs"/>
          <w:sz w:val="24"/>
          <w:rtl/>
        </w:rPr>
        <w:t>َ</w:t>
      </w:r>
      <w:r>
        <w:rPr>
          <w:rFonts w:ascii="Tahoma" w:hAnsi="Tahoma" w:hint="cs"/>
          <w:sz w:val="24"/>
          <w:rtl/>
        </w:rPr>
        <w:t>م</w:t>
      </w:r>
      <w:r w:rsidR="00581DF8">
        <w:rPr>
          <w:rFonts w:ascii="Tahoma" w:hAnsi="Tahoma" w:hint="cs"/>
          <w:sz w:val="24"/>
          <w:rtl/>
        </w:rPr>
        <w:t>َ</w:t>
      </w:r>
      <w:r>
        <w:rPr>
          <w:rFonts w:ascii="Tahoma" w:hAnsi="Tahoma" w:hint="cs"/>
          <w:sz w:val="24"/>
          <w:rtl/>
        </w:rPr>
        <w:t>ل</w:t>
      </w:r>
      <w:r w:rsidR="00581DF8">
        <w:rPr>
          <w:rFonts w:ascii="Tahoma" w:hAnsi="Tahoma" w:hint="cs"/>
          <w:sz w:val="24"/>
          <w:rtl/>
        </w:rPr>
        <w:t>ِ</w:t>
      </w:r>
      <w:r>
        <w:rPr>
          <w:rFonts w:ascii="Tahoma" w:hAnsi="Tahoma" w:hint="cs"/>
          <w:sz w:val="24"/>
          <w:rtl/>
        </w:rPr>
        <w:t xml:space="preserve"> الش</w:t>
      </w:r>
      <w:r w:rsidR="00581DF8">
        <w:rPr>
          <w:rFonts w:ascii="Tahoma" w:hAnsi="Tahoma" w:hint="cs"/>
          <w:sz w:val="24"/>
          <w:rtl/>
        </w:rPr>
        <w:t>َّ</w:t>
      </w:r>
      <w:r>
        <w:rPr>
          <w:rFonts w:ascii="Tahoma" w:hAnsi="Tahoma" w:hint="cs"/>
          <w:sz w:val="24"/>
          <w:rtl/>
        </w:rPr>
        <w:t>یط</w:t>
      </w:r>
      <w:r w:rsidR="00581DF8">
        <w:rPr>
          <w:rFonts w:ascii="Tahoma" w:hAnsi="Tahoma" w:hint="cs"/>
          <w:sz w:val="24"/>
          <w:rtl/>
        </w:rPr>
        <w:t>َ</w:t>
      </w:r>
      <w:r>
        <w:rPr>
          <w:rFonts w:ascii="Tahoma" w:hAnsi="Tahoma" w:hint="cs"/>
          <w:sz w:val="24"/>
          <w:rtl/>
        </w:rPr>
        <w:t>ان</w:t>
      </w:r>
      <w:r w:rsidR="00581DF8">
        <w:rPr>
          <w:rFonts w:ascii="Tahoma" w:hAnsi="Tahoma" w:hint="cs"/>
          <w:sz w:val="24"/>
          <w:rtl/>
        </w:rPr>
        <w:t>َ</w:t>
      </w:r>
      <w:r>
        <w:rPr>
          <w:rFonts w:ascii="Tahoma" w:hAnsi="Tahoma" w:hint="cs"/>
          <w:sz w:val="24"/>
          <w:rtl/>
        </w:rPr>
        <w:t xml:space="preserve"> ف</w:t>
      </w:r>
      <w:r w:rsidR="00581DF8">
        <w:rPr>
          <w:rFonts w:ascii="Tahoma" w:hAnsi="Tahoma" w:hint="cs"/>
          <w:sz w:val="24"/>
          <w:rtl/>
        </w:rPr>
        <w:t>َ</w:t>
      </w:r>
      <w:r>
        <w:rPr>
          <w:rFonts w:ascii="Tahoma" w:hAnsi="Tahoma" w:hint="cs"/>
          <w:sz w:val="24"/>
          <w:rtl/>
        </w:rPr>
        <w:t>اجت</w:t>
      </w:r>
      <w:r w:rsidR="00581DF8">
        <w:rPr>
          <w:rFonts w:ascii="Tahoma" w:hAnsi="Tahoma" w:hint="cs"/>
          <w:sz w:val="24"/>
          <w:rtl/>
        </w:rPr>
        <w:t>َ</w:t>
      </w:r>
      <w:r>
        <w:rPr>
          <w:rFonts w:ascii="Tahoma" w:hAnsi="Tahoma" w:hint="cs"/>
          <w:sz w:val="24"/>
          <w:rtl/>
        </w:rPr>
        <w:t>ن</w:t>
      </w:r>
      <w:r w:rsidR="00581DF8">
        <w:rPr>
          <w:rFonts w:ascii="Tahoma" w:hAnsi="Tahoma" w:hint="cs"/>
          <w:sz w:val="24"/>
          <w:rtl/>
        </w:rPr>
        <w:t>ِ</w:t>
      </w:r>
      <w:r>
        <w:rPr>
          <w:rFonts w:ascii="Tahoma" w:hAnsi="Tahoma" w:hint="cs"/>
          <w:sz w:val="24"/>
          <w:rtl/>
        </w:rPr>
        <w:t>ب</w:t>
      </w:r>
      <w:r w:rsidR="00581DF8">
        <w:rPr>
          <w:rFonts w:ascii="Tahoma" w:hAnsi="Tahoma" w:hint="cs"/>
          <w:sz w:val="24"/>
          <w:rtl/>
        </w:rPr>
        <w:t>ُ</w:t>
      </w:r>
      <w:r>
        <w:rPr>
          <w:rFonts w:ascii="Tahoma" w:hAnsi="Tahoma" w:hint="cs"/>
          <w:sz w:val="24"/>
          <w:rtl/>
        </w:rPr>
        <w:t>وه</w:t>
      </w:r>
      <w:r w:rsidR="00581DF8">
        <w:rPr>
          <w:rFonts w:ascii="Tahoma" w:hAnsi="Tahoma" w:hint="cs"/>
          <w:sz w:val="24"/>
          <w:rtl/>
        </w:rPr>
        <w:t>»</w:t>
      </w:r>
      <w:r w:rsidR="00581DF8">
        <w:rPr>
          <w:rStyle w:val="FootnoteReference"/>
          <w:rFonts w:ascii="Tahoma" w:hAnsi="Tahoma"/>
          <w:sz w:val="24"/>
          <w:rtl/>
        </w:rPr>
        <w:footnoteReference w:id="3"/>
      </w:r>
      <w:r w:rsidR="00581DF8">
        <w:rPr>
          <w:rFonts w:ascii="Tahoma" w:hAnsi="Tahoma" w:hint="cs"/>
          <w:sz w:val="24"/>
          <w:rtl/>
        </w:rPr>
        <w:t>.</w:t>
      </w:r>
      <w:r>
        <w:rPr>
          <w:rFonts w:ascii="Tahoma" w:hAnsi="Tahoma" w:hint="cs"/>
          <w:sz w:val="24"/>
          <w:rtl/>
        </w:rPr>
        <w:t xml:space="preserve"> فقیه در این جا نباید چشم اش را از معنای رجس ببند</w:t>
      </w:r>
      <w:r w:rsidR="00581DF8">
        <w:rPr>
          <w:rFonts w:ascii="Tahoma" w:hAnsi="Tahoma" w:hint="cs"/>
          <w:sz w:val="24"/>
          <w:rtl/>
        </w:rPr>
        <w:t>د،</w:t>
      </w:r>
      <w:r>
        <w:rPr>
          <w:rFonts w:ascii="Tahoma" w:hAnsi="Tahoma" w:hint="cs"/>
          <w:sz w:val="24"/>
          <w:rtl/>
        </w:rPr>
        <w:t xml:space="preserve"> در موارد دیگری که در غیر این آیه است منتها این جا یک بحث است که ایا تعلیل هایی که در آیات یا روایات است، کجا علت است و کجا حکمت؟</w:t>
      </w:r>
    </w:p>
    <w:p w:rsidR="00FF798B" w:rsidRDefault="00FF798B" w:rsidP="00FF798B">
      <w:pPr>
        <w:pStyle w:val="ListParagraph"/>
        <w:numPr>
          <w:ilvl w:val="0"/>
          <w:numId w:val="22"/>
        </w:numPr>
        <w:spacing w:line="360" w:lineRule="auto"/>
        <w:jc w:val="lowKashida"/>
        <w:rPr>
          <w:rFonts w:ascii="Tahoma" w:hAnsi="Tahoma"/>
          <w:sz w:val="24"/>
        </w:rPr>
      </w:pPr>
      <w:r>
        <w:rPr>
          <w:rFonts w:ascii="Tahoma" w:hAnsi="Tahoma" w:hint="cs"/>
          <w:sz w:val="24"/>
          <w:rtl/>
        </w:rPr>
        <w:t>برای رسیدن به مصالح و مفاسد مراجعه کردن به نصوص خاصه ایی که در موارد مشابه با فرع مورد نظر دیده می شود، نصی است در مورد یک فرعی که آن فرع شبیه فرع ماست، مثلا نفرمود</w:t>
      </w:r>
      <w:r w:rsidR="00581DF8">
        <w:rPr>
          <w:rFonts w:ascii="Tahoma" w:hAnsi="Tahoma" w:hint="cs"/>
          <w:sz w:val="24"/>
          <w:rtl/>
        </w:rPr>
        <w:t>:</w:t>
      </w:r>
      <w:r>
        <w:rPr>
          <w:rFonts w:ascii="Tahoma" w:hAnsi="Tahoma" w:hint="cs"/>
          <w:sz w:val="24"/>
          <w:rtl/>
        </w:rPr>
        <w:t xml:space="preserve"> لا تشرب الخمر لانه مسکر، فقط فرمود</w:t>
      </w:r>
      <w:r w:rsidR="00581DF8">
        <w:rPr>
          <w:rFonts w:ascii="Tahoma" w:hAnsi="Tahoma" w:hint="cs"/>
          <w:sz w:val="24"/>
          <w:rtl/>
        </w:rPr>
        <w:t>:</w:t>
      </w:r>
      <w:r>
        <w:rPr>
          <w:rFonts w:ascii="Tahoma" w:hAnsi="Tahoma" w:hint="cs"/>
          <w:sz w:val="24"/>
          <w:rtl/>
        </w:rPr>
        <w:t xml:space="preserve"> </w:t>
      </w:r>
      <w:r w:rsidR="00581DF8">
        <w:rPr>
          <w:rFonts w:ascii="Tahoma" w:hAnsi="Tahoma" w:hint="cs"/>
          <w:sz w:val="24"/>
          <w:rtl/>
        </w:rPr>
        <w:t>«</w:t>
      </w:r>
      <w:r>
        <w:rPr>
          <w:rFonts w:ascii="Tahoma" w:hAnsi="Tahoma" w:hint="cs"/>
          <w:sz w:val="24"/>
          <w:rtl/>
        </w:rPr>
        <w:t>لاتشرب الخمر</w:t>
      </w:r>
      <w:r w:rsidR="00581DF8">
        <w:rPr>
          <w:rFonts w:ascii="Tahoma" w:hAnsi="Tahoma" w:hint="cs"/>
          <w:sz w:val="24"/>
          <w:rtl/>
        </w:rPr>
        <w:t>»</w:t>
      </w:r>
      <w:r>
        <w:rPr>
          <w:rFonts w:ascii="Tahoma" w:hAnsi="Tahoma" w:hint="cs"/>
          <w:sz w:val="24"/>
          <w:rtl/>
        </w:rPr>
        <w:t xml:space="preserve">. ما دیدیم فقاع هم همان آثار خمر بر آن مترتب است. ما این را به عنوان دلیلی </w:t>
      </w:r>
      <w:r w:rsidR="00581DF8">
        <w:rPr>
          <w:rFonts w:ascii="Tahoma" w:hAnsi="Tahoma" w:hint="cs"/>
          <w:sz w:val="24"/>
          <w:rtl/>
        </w:rPr>
        <w:t>نمی بینیم بلکه به عنوان یک قرین</w:t>
      </w:r>
      <w:r>
        <w:rPr>
          <w:rFonts w:ascii="Tahoma" w:hAnsi="Tahoma" w:hint="cs"/>
          <w:sz w:val="24"/>
          <w:rtl/>
        </w:rPr>
        <w:t>ه</w:t>
      </w:r>
      <w:r w:rsidR="00581DF8">
        <w:rPr>
          <w:rFonts w:ascii="Tahoma" w:hAnsi="Tahoma" w:hint="cs"/>
          <w:sz w:val="24"/>
          <w:rtl/>
        </w:rPr>
        <w:t xml:space="preserve"> </w:t>
      </w:r>
      <w:r>
        <w:rPr>
          <w:rFonts w:ascii="Tahoma" w:hAnsi="Tahoma" w:hint="cs"/>
          <w:sz w:val="24"/>
          <w:rtl/>
        </w:rPr>
        <w:t>آن را مطر</w:t>
      </w:r>
      <w:r w:rsidR="00272A35">
        <w:rPr>
          <w:rFonts w:ascii="Tahoma" w:hAnsi="Tahoma" w:hint="cs"/>
          <w:sz w:val="24"/>
          <w:rtl/>
        </w:rPr>
        <w:t>ح می کنیم.</w:t>
      </w:r>
    </w:p>
    <w:p w:rsidR="00272A35" w:rsidRDefault="00272A35" w:rsidP="00FF798B">
      <w:pPr>
        <w:pStyle w:val="ListParagraph"/>
        <w:numPr>
          <w:ilvl w:val="0"/>
          <w:numId w:val="22"/>
        </w:numPr>
        <w:spacing w:line="360" w:lineRule="auto"/>
        <w:jc w:val="lowKashida"/>
        <w:rPr>
          <w:rFonts w:ascii="Tahoma" w:hAnsi="Tahoma"/>
          <w:sz w:val="24"/>
        </w:rPr>
      </w:pPr>
      <w:r>
        <w:rPr>
          <w:rFonts w:ascii="Tahoma" w:hAnsi="Tahoma" w:hint="cs"/>
          <w:sz w:val="24"/>
          <w:rtl/>
        </w:rPr>
        <w:t xml:space="preserve">عقل؛ یعنی فقیه فقط خودش باشد و عقل اش و یک فرع، که این جا گاهی این عقل می تواند به تنهایی نتیجه بخش باشد ولی در موارد بسیاری نظر ما این شد که در کنار آن عناصر یاد شده است که نتیجه بخش است. </w:t>
      </w:r>
    </w:p>
    <w:p w:rsidR="00272A35" w:rsidRDefault="00272A35" w:rsidP="00272A35">
      <w:pPr>
        <w:spacing w:line="360" w:lineRule="auto"/>
        <w:jc w:val="lowKashida"/>
        <w:rPr>
          <w:rFonts w:ascii="Tahoma" w:hAnsi="Tahoma"/>
          <w:sz w:val="24"/>
          <w:rtl/>
        </w:rPr>
      </w:pPr>
      <w:r w:rsidRPr="00272A35">
        <w:rPr>
          <w:rFonts w:ascii="Tahoma" w:hAnsi="Tahoma" w:hint="cs"/>
          <w:sz w:val="24"/>
          <w:rtl/>
        </w:rPr>
        <w:t>پس مشاهده فرمودید اساسا شیوه مصلحت سنجی با آن چه که در اصول عامه است</w:t>
      </w:r>
      <w:r w:rsidR="00CF5816">
        <w:rPr>
          <w:rFonts w:ascii="Tahoma" w:hAnsi="Tahoma" w:hint="cs"/>
          <w:sz w:val="24"/>
          <w:rtl/>
        </w:rPr>
        <w:t>،</w:t>
      </w:r>
      <w:r w:rsidRPr="00272A35">
        <w:rPr>
          <w:rFonts w:ascii="Tahoma" w:hAnsi="Tahoma" w:hint="cs"/>
          <w:sz w:val="24"/>
          <w:rtl/>
        </w:rPr>
        <w:t xml:space="preserve"> تفاوت اساسی دارد.</w:t>
      </w:r>
    </w:p>
    <w:p w:rsidR="0051535A" w:rsidRDefault="0051535A" w:rsidP="00272A35">
      <w:pPr>
        <w:spacing w:line="360" w:lineRule="auto"/>
        <w:jc w:val="lowKashida"/>
        <w:rPr>
          <w:rFonts w:ascii="Tahoma" w:hAnsi="Tahoma"/>
          <w:sz w:val="24"/>
          <w:rtl/>
        </w:rPr>
      </w:pPr>
      <w:r>
        <w:rPr>
          <w:rFonts w:ascii="Tahoma" w:hAnsi="Tahoma" w:hint="cs"/>
          <w:sz w:val="24"/>
          <w:rtl/>
        </w:rPr>
        <w:t>اما مطلب دوم؛ یعین کیفیت دخالت دادن سنجش مطالح و مفاید:</w:t>
      </w:r>
    </w:p>
    <w:p w:rsidR="0051535A" w:rsidRDefault="00CF5816" w:rsidP="0051535A">
      <w:pPr>
        <w:pStyle w:val="ListParagraph"/>
        <w:numPr>
          <w:ilvl w:val="0"/>
          <w:numId w:val="23"/>
        </w:numPr>
        <w:spacing w:line="360" w:lineRule="auto"/>
        <w:jc w:val="lowKashida"/>
        <w:rPr>
          <w:rFonts w:ascii="Tahoma" w:hAnsi="Tahoma"/>
          <w:sz w:val="24"/>
        </w:rPr>
      </w:pPr>
      <w:r>
        <w:rPr>
          <w:rFonts w:ascii="Tahoma" w:hAnsi="Tahoma" w:hint="cs"/>
          <w:sz w:val="24"/>
          <w:rtl/>
        </w:rPr>
        <w:t xml:space="preserve">با تجمیع قرائن </w:t>
      </w:r>
      <w:r w:rsidR="0051535A">
        <w:rPr>
          <w:rFonts w:ascii="Tahoma" w:hAnsi="Tahoma" w:hint="cs"/>
          <w:sz w:val="24"/>
          <w:rtl/>
        </w:rPr>
        <w:t>ا</w:t>
      </w:r>
      <w:r>
        <w:rPr>
          <w:rFonts w:ascii="Tahoma" w:hAnsi="Tahoma" w:hint="cs"/>
          <w:sz w:val="24"/>
          <w:rtl/>
        </w:rPr>
        <w:t>ز</w:t>
      </w:r>
      <w:r w:rsidR="0051535A">
        <w:rPr>
          <w:rFonts w:ascii="Tahoma" w:hAnsi="Tahoma" w:hint="cs"/>
          <w:sz w:val="24"/>
          <w:rtl/>
        </w:rPr>
        <w:t xml:space="preserve"> جمله مصالح و مفاسد منصوصه و معقوله حکم واقعیه ایی را</w:t>
      </w:r>
      <w:r>
        <w:rPr>
          <w:rFonts w:ascii="Tahoma" w:hAnsi="Tahoma" w:hint="cs"/>
          <w:sz w:val="24"/>
          <w:rtl/>
        </w:rPr>
        <w:t xml:space="preserve"> بیان کنیم که نص صریحی در مورد آ</w:t>
      </w:r>
      <w:r w:rsidR="0051535A">
        <w:rPr>
          <w:rFonts w:ascii="Tahoma" w:hAnsi="Tahoma" w:hint="cs"/>
          <w:sz w:val="24"/>
          <w:rtl/>
        </w:rPr>
        <w:t xml:space="preserve">ن نداریم. نه این که دلیل باشد. با این تجمیع قرائن، حکم شرع و عقل را در این </w:t>
      </w:r>
      <w:r w:rsidR="0051535A">
        <w:rPr>
          <w:rFonts w:ascii="Tahoma" w:hAnsi="Tahoma" w:hint="cs"/>
          <w:sz w:val="24"/>
          <w:rtl/>
        </w:rPr>
        <w:lastRenderedPageBreak/>
        <w:t>واقعه می فهیم. یعنی روش است نه دلیل. مساله ایی است نو پدیدی که صراحتا حکم اش در شرع نی</w:t>
      </w:r>
      <w:r>
        <w:rPr>
          <w:rFonts w:ascii="Tahoma" w:hAnsi="Tahoma" w:hint="cs"/>
          <w:sz w:val="24"/>
          <w:rtl/>
        </w:rPr>
        <w:t>ست می آییم با آن پنج چیز می رسید</w:t>
      </w:r>
      <w:r w:rsidR="0051535A">
        <w:rPr>
          <w:rFonts w:ascii="Tahoma" w:hAnsi="Tahoma" w:hint="cs"/>
          <w:sz w:val="24"/>
          <w:rtl/>
        </w:rPr>
        <w:t xml:space="preserve"> که این حکم سنت و عقل است.</w:t>
      </w:r>
    </w:p>
    <w:p w:rsidR="0051535A" w:rsidRDefault="0051535A" w:rsidP="00B6646C">
      <w:pPr>
        <w:pStyle w:val="ListParagraph"/>
        <w:numPr>
          <w:ilvl w:val="0"/>
          <w:numId w:val="23"/>
        </w:numPr>
        <w:spacing w:line="360" w:lineRule="auto"/>
        <w:jc w:val="lowKashida"/>
        <w:rPr>
          <w:rFonts w:ascii="Tahoma" w:hAnsi="Tahoma"/>
          <w:sz w:val="24"/>
        </w:rPr>
      </w:pPr>
      <w:r w:rsidRPr="0051535A">
        <w:rPr>
          <w:rFonts w:ascii="Tahoma" w:hAnsi="Tahoma" w:hint="cs"/>
          <w:sz w:val="24"/>
          <w:rtl/>
        </w:rPr>
        <w:t xml:space="preserve"> با تجمیع قرائن از جمله مصالح و مفاسد منصوصه و معقوله، دلیل ضعیفی را تقویت می کنیم، روشی است برای تقویت دلیل، در یک مساله یک روایت ضعیفه داریم، عمل مشهور بر طبق روایت هست، مصالح و مفاسد را هم سنجیده ایم با سنجش هم به مضمون روایت می رسیم، این جا سنجش ما دلیل شد نه این که خ</w:t>
      </w:r>
      <w:r>
        <w:rPr>
          <w:rFonts w:ascii="Tahoma" w:hAnsi="Tahoma" w:hint="cs"/>
          <w:sz w:val="24"/>
          <w:rtl/>
        </w:rPr>
        <w:t>ودش باز یک دلیل مستقلی باشد.</w:t>
      </w:r>
    </w:p>
    <w:p w:rsidR="0051535A" w:rsidRDefault="0051535A" w:rsidP="00CF5816">
      <w:pPr>
        <w:pStyle w:val="ListParagraph"/>
        <w:numPr>
          <w:ilvl w:val="0"/>
          <w:numId w:val="23"/>
        </w:numPr>
        <w:spacing w:line="360" w:lineRule="auto"/>
        <w:jc w:val="lowKashida"/>
        <w:rPr>
          <w:rFonts w:ascii="Tahoma" w:hAnsi="Tahoma"/>
          <w:sz w:val="24"/>
        </w:rPr>
      </w:pPr>
      <w:r>
        <w:rPr>
          <w:rFonts w:ascii="Tahoma" w:hAnsi="Tahoma" w:hint="cs"/>
          <w:sz w:val="24"/>
          <w:rtl/>
        </w:rPr>
        <w:t xml:space="preserve">با تجمیع قرائن از جمله مصالح و مفاسد منصوصه و معقوله، حد ومرز عام کتاب و سنت یا مطلق کتاب و سنت را تبیین می کنیم، قرآن کریم فرمود: </w:t>
      </w:r>
      <w:r w:rsidR="00CF5816">
        <w:rPr>
          <w:rFonts w:ascii="Tahoma" w:hAnsi="Tahoma" w:hint="cs"/>
          <w:sz w:val="24"/>
          <w:rtl/>
        </w:rPr>
        <w:t>«أَ</w:t>
      </w:r>
      <w:r>
        <w:rPr>
          <w:rFonts w:ascii="Tahoma" w:hAnsi="Tahoma" w:hint="cs"/>
          <w:sz w:val="24"/>
          <w:rtl/>
        </w:rPr>
        <w:t>ح</w:t>
      </w:r>
      <w:r w:rsidR="00CF5816">
        <w:rPr>
          <w:rFonts w:ascii="Tahoma" w:hAnsi="Tahoma" w:hint="cs"/>
          <w:sz w:val="24"/>
          <w:rtl/>
        </w:rPr>
        <w:t>َ</w:t>
      </w:r>
      <w:r>
        <w:rPr>
          <w:rFonts w:ascii="Tahoma" w:hAnsi="Tahoma" w:hint="cs"/>
          <w:sz w:val="24"/>
          <w:rtl/>
        </w:rPr>
        <w:t>لّ</w:t>
      </w:r>
      <w:r w:rsidR="00CF5816">
        <w:rPr>
          <w:rFonts w:ascii="Tahoma" w:hAnsi="Tahoma" w:hint="cs"/>
          <w:sz w:val="24"/>
          <w:rtl/>
        </w:rPr>
        <w:t>َ</w:t>
      </w:r>
      <w:r>
        <w:rPr>
          <w:rFonts w:ascii="Tahoma" w:hAnsi="Tahoma" w:hint="cs"/>
          <w:sz w:val="24"/>
          <w:rtl/>
        </w:rPr>
        <w:t xml:space="preserve"> الله</w:t>
      </w:r>
      <w:r w:rsidR="00CF5816">
        <w:rPr>
          <w:rFonts w:ascii="Tahoma" w:hAnsi="Tahoma" w:hint="cs"/>
          <w:sz w:val="24"/>
          <w:rtl/>
        </w:rPr>
        <w:t>ُ</w:t>
      </w:r>
      <w:r>
        <w:rPr>
          <w:rFonts w:ascii="Tahoma" w:hAnsi="Tahoma" w:hint="cs"/>
          <w:sz w:val="24"/>
          <w:rtl/>
        </w:rPr>
        <w:t xml:space="preserve"> الب</w:t>
      </w:r>
      <w:r w:rsidR="00CF5816">
        <w:rPr>
          <w:rFonts w:ascii="Tahoma" w:hAnsi="Tahoma" w:hint="cs"/>
          <w:sz w:val="24"/>
          <w:rtl/>
        </w:rPr>
        <w:t>ِ</w:t>
      </w:r>
      <w:r>
        <w:rPr>
          <w:rFonts w:ascii="Tahoma" w:hAnsi="Tahoma" w:hint="cs"/>
          <w:sz w:val="24"/>
          <w:rtl/>
        </w:rPr>
        <w:t>یع</w:t>
      </w:r>
      <w:r w:rsidR="00CF5816">
        <w:rPr>
          <w:rFonts w:ascii="Tahoma" w:hAnsi="Tahoma" w:hint="cs"/>
          <w:sz w:val="24"/>
          <w:rtl/>
        </w:rPr>
        <w:t>َ»</w:t>
      </w:r>
      <w:r w:rsidR="00CF5816">
        <w:rPr>
          <w:rStyle w:val="FootnoteReference"/>
          <w:rFonts w:ascii="Tahoma" w:hAnsi="Tahoma"/>
          <w:sz w:val="24"/>
          <w:rtl/>
        </w:rPr>
        <w:footnoteReference w:id="4"/>
      </w:r>
      <w:r>
        <w:rPr>
          <w:rFonts w:ascii="Tahoma" w:hAnsi="Tahoma" w:hint="cs"/>
          <w:sz w:val="24"/>
          <w:rtl/>
        </w:rPr>
        <w:t xml:space="preserve">. آمدیم با سنجش مصالح و مفاسد بیع سفیه و سفهی را </w:t>
      </w:r>
      <w:r w:rsidR="00246AB0">
        <w:rPr>
          <w:rFonts w:ascii="Tahoma" w:hAnsi="Tahoma" w:hint="cs"/>
          <w:sz w:val="24"/>
          <w:rtl/>
        </w:rPr>
        <w:t xml:space="preserve">ملاحظه کردیم. دیدیم مفاسد این گونه بیوع بسیار زیاد است و روایتی هم در کار نبود، ما باشیم و فقط </w:t>
      </w:r>
      <w:r w:rsidR="00CF5816">
        <w:rPr>
          <w:rFonts w:ascii="Tahoma" w:hAnsi="Tahoma" w:hint="cs"/>
          <w:sz w:val="24"/>
          <w:rtl/>
        </w:rPr>
        <w:t>«</w:t>
      </w:r>
      <w:r w:rsidR="00246AB0">
        <w:rPr>
          <w:rFonts w:ascii="Tahoma" w:hAnsi="Tahoma" w:hint="cs"/>
          <w:sz w:val="24"/>
          <w:rtl/>
        </w:rPr>
        <w:t>احل الله البیع</w:t>
      </w:r>
      <w:r w:rsidR="00CF5816">
        <w:rPr>
          <w:rFonts w:ascii="Tahoma" w:hAnsi="Tahoma" w:hint="cs"/>
          <w:sz w:val="24"/>
          <w:rtl/>
        </w:rPr>
        <w:t>»</w:t>
      </w:r>
      <w:r w:rsidR="00CF5816">
        <w:rPr>
          <w:rStyle w:val="FootnoteReference"/>
          <w:rFonts w:ascii="Tahoma" w:hAnsi="Tahoma"/>
          <w:sz w:val="24"/>
          <w:rtl/>
        </w:rPr>
        <w:footnoteReference w:id="5"/>
      </w:r>
      <w:r w:rsidR="00246AB0">
        <w:rPr>
          <w:rFonts w:ascii="Tahoma" w:hAnsi="Tahoma" w:hint="cs"/>
          <w:sz w:val="24"/>
          <w:rtl/>
        </w:rPr>
        <w:t xml:space="preserve">، می گوییم بیع سفهی را هم در بر می گیرد. اما با این سنجش مصالح و مفاسد حد این </w:t>
      </w:r>
      <w:r w:rsidR="00CF5816">
        <w:rPr>
          <w:rFonts w:ascii="Tahoma" w:hAnsi="Tahoma" w:hint="cs"/>
          <w:sz w:val="24"/>
          <w:rtl/>
        </w:rPr>
        <w:t>«أَ</w:t>
      </w:r>
      <w:r w:rsidR="00246AB0">
        <w:rPr>
          <w:rFonts w:ascii="Tahoma" w:hAnsi="Tahoma" w:hint="cs"/>
          <w:sz w:val="24"/>
          <w:rtl/>
        </w:rPr>
        <w:t>ح</w:t>
      </w:r>
      <w:r w:rsidR="00CF5816">
        <w:rPr>
          <w:rFonts w:ascii="Tahoma" w:hAnsi="Tahoma" w:hint="cs"/>
          <w:sz w:val="24"/>
          <w:rtl/>
        </w:rPr>
        <w:t>َ</w:t>
      </w:r>
      <w:r w:rsidR="00246AB0">
        <w:rPr>
          <w:rFonts w:ascii="Tahoma" w:hAnsi="Tahoma" w:hint="cs"/>
          <w:sz w:val="24"/>
          <w:rtl/>
        </w:rPr>
        <w:t>ل</w:t>
      </w:r>
      <w:r w:rsidR="00CF5816">
        <w:rPr>
          <w:rFonts w:ascii="Tahoma" w:hAnsi="Tahoma" w:hint="cs"/>
          <w:sz w:val="24"/>
          <w:rtl/>
        </w:rPr>
        <w:t>َّ</w:t>
      </w:r>
      <w:r w:rsidR="00246AB0">
        <w:rPr>
          <w:rFonts w:ascii="Tahoma" w:hAnsi="Tahoma" w:hint="cs"/>
          <w:sz w:val="24"/>
          <w:rtl/>
        </w:rPr>
        <w:t xml:space="preserve"> الله</w:t>
      </w:r>
      <w:r w:rsidR="00CF5816">
        <w:rPr>
          <w:rFonts w:ascii="Tahoma" w:hAnsi="Tahoma" w:hint="cs"/>
          <w:sz w:val="24"/>
          <w:rtl/>
        </w:rPr>
        <w:t>ُ</w:t>
      </w:r>
      <w:r w:rsidR="00246AB0">
        <w:rPr>
          <w:rFonts w:ascii="Tahoma" w:hAnsi="Tahoma" w:hint="cs"/>
          <w:sz w:val="24"/>
          <w:rtl/>
        </w:rPr>
        <w:t xml:space="preserve"> الب</w:t>
      </w:r>
      <w:r w:rsidR="00CF5816">
        <w:rPr>
          <w:rFonts w:ascii="Tahoma" w:hAnsi="Tahoma" w:hint="cs"/>
          <w:sz w:val="24"/>
          <w:rtl/>
        </w:rPr>
        <w:t>ِ</w:t>
      </w:r>
      <w:r w:rsidR="00246AB0">
        <w:rPr>
          <w:rFonts w:ascii="Tahoma" w:hAnsi="Tahoma" w:hint="cs"/>
          <w:sz w:val="24"/>
          <w:rtl/>
        </w:rPr>
        <w:t>یع</w:t>
      </w:r>
      <w:r w:rsidR="00CF5816">
        <w:rPr>
          <w:rFonts w:ascii="Tahoma" w:hAnsi="Tahoma" w:hint="cs"/>
          <w:sz w:val="24"/>
          <w:rtl/>
        </w:rPr>
        <w:t>َ»</w:t>
      </w:r>
      <w:r w:rsidR="00CF5816">
        <w:rPr>
          <w:rStyle w:val="FootnoteReference"/>
          <w:rFonts w:ascii="Tahoma" w:hAnsi="Tahoma"/>
          <w:sz w:val="24"/>
          <w:rtl/>
        </w:rPr>
        <w:footnoteReference w:id="6"/>
      </w:r>
      <w:r w:rsidR="00246AB0">
        <w:rPr>
          <w:rFonts w:ascii="Tahoma" w:hAnsi="Tahoma" w:hint="cs"/>
          <w:sz w:val="24"/>
          <w:rtl/>
        </w:rPr>
        <w:t xml:space="preserve"> را بیان می کنیم. به عبارت دیگر این سنجش می شود در حکم یک قرینه متصله که نمی گذارد</w:t>
      </w:r>
      <w:r w:rsidR="00CF5816">
        <w:rPr>
          <w:rFonts w:ascii="Tahoma" w:hAnsi="Tahoma" w:hint="cs"/>
          <w:sz w:val="24"/>
          <w:rtl/>
        </w:rPr>
        <w:t>، «أَ</w:t>
      </w:r>
      <w:r w:rsidR="00246AB0">
        <w:rPr>
          <w:rFonts w:ascii="Tahoma" w:hAnsi="Tahoma" w:hint="cs"/>
          <w:sz w:val="24"/>
          <w:rtl/>
        </w:rPr>
        <w:t>ح</w:t>
      </w:r>
      <w:r w:rsidR="00CF5816">
        <w:rPr>
          <w:rFonts w:ascii="Tahoma" w:hAnsi="Tahoma" w:hint="cs"/>
          <w:sz w:val="24"/>
          <w:rtl/>
        </w:rPr>
        <w:t>َ</w:t>
      </w:r>
      <w:r w:rsidR="00246AB0">
        <w:rPr>
          <w:rFonts w:ascii="Tahoma" w:hAnsi="Tahoma" w:hint="cs"/>
          <w:sz w:val="24"/>
          <w:rtl/>
        </w:rPr>
        <w:t>ل</w:t>
      </w:r>
      <w:r w:rsidR="00CF5816">
        <w:rPr>
          <w:rFonts w:ascii="Tahoma" w:hAnsi="Tahoma" w:hint="cs"/>
          <w:sz w:val="24"/>
          <w:rtl/>
        </w:rPr>
        <w:t>َّ</w:t>
      </w:r>
      <w:r w:rsidR="00246AB0">
        <w:rPr>
          <w:rFonts w:ascii="Tahoma" w:hAnsi="Tahoma" w:hint="cs"/>
          <w:sz w:val="24"/>
          <w:rtl/>
        </w:rPr>
        <w:t xml:space="preserve"> الله</w:t>
      </w:r>
      <w:r w:rsidR="00CF5816">
        <w:rPr>
          <w:rFonts w:ascii="Tahoma" w:hAnsi="Tahoma" w:hint="cs"/>
          <w:sz w:val="24"/>
          <w:rtl/>
        </w:rPr>
        <w:t>ُ</w:t>
      </w:r>
      <w:r w:rsidR="00246AB0">
        <w:rPr>
          <w:rFonts w:ascii="Tahoma" w:hAnsi="Tahoma" w:hint="cs"/>
          <w:sz w:val="24"/>
          <w:rtl/>
        </w:rPr>
        <w:t xml:space="preserve"> الب</w:t>
      </w:r>
      <w:r w:rsidR="00CF5816">
        <w:rPr>
          <w:rFonts w:ascii="Tahoma" w:hAnsi="Tahoma" w:hint="cs"/>
          <w:sz w:val="24"/>
          <w:rtl/>
        </w:rPr>
        <w:t>ِ</w:t>
      </w:r>
      <w:r w:rsidR="00246AB0">
        <w:rPr>
          <w:rFonts w:ascii="Tahoma" w:hAnsi="Tahoma" w:hint="cs"/>
          <w:sz w:val="24"/>
          <w:rtl/>
        </w:rPr>
        <w:t>یع</w:t>
      </w:r>
      <w:r w:rsidR="00CF5816">
        <w:rPr>
          <w:rFonts w:ascii="Tahoma" w:hAnsi="Tahoma" w:hint="cs"/>
          <w:sz w:val="24"/>
          <w:rtl/>
        </w:rPr>
        <w:t>َ»</w:t>
      </w:r>
      <w:r w:rsidR="00CF5816">
        <w:rPr>
          <w:rStyle w:val="FootnoteReference"/>
          <w:rFonts w:ascii="Tahoma" w:hAnsi="Tahoma"/>
          <w:sz w:val="24"/>
          <w:rtl/>
        </w:rPr>
        <w:footnoteReference w:id="7"/>
      </w:r>
      <w:r w:rsidR="00246AB0">
        <w:rPr>
          <w:rFonts w:ascii="Tahoma" w:hAnsi="Tahoma" w:hint="cs"/>
          <w:sz w:val="24"/>
          <w:rtl/>
        </w:rPr>
        <w:t xml:space="preserve"> اطلاق اش منعقد شود.</w:t>
      </w:r>
    </w:p>
    <w:p w:rsidR="00246AB0" w:rsidRPr="00CF5816" w:rsidRDefault="00CF5816" w:rsidP="00CF5816">
      <w:pPr>
        <w:pStyle w:val="ListParagraph"/>
        <w:spacing w:line="360" w:lineRule="auto"/>
        <w:jc w:val="lowKashida"/>
        <w:rPr>
          <w:rFonts w:ascii="Tahoma" w:hAnsi="Tahoma"/>
          <w:sz w:val="24"/>
          <w:rtl/>
        </w:rPr>
      </w:pPr>
      <w:r>
        <w:rPr>
          <w:rFonts w:ascii="Tahoma" w:hAnsi="Tahoma" w:hint="cs"/>
          <w:sz w:val="24"/>
          <w:rtl/>
        </w:rPr>
        <w:t>باز مثال می زنم،</w:t>
      </w:r>
      <w:r w:rsidR="00246AB0">
        <w:rPr>
          <w:rFonts w:ascii="Tahoma" w:hAnsi="Tahoma" w:hint="cs"/>
          <w:sz w:val="24"/>
          <w:rtl/>
        </w:rPr>
        <w:t xml:space="preserve"> قال الله تعالی</w:t>
      </w:r>
      <w:r>
        <w:rPr>
          <w:rFonts w:ascii="Tahoma" w:hAnsi="Tahoma" w:hint="cs"/>
          <w:sz w:val="24"/>
          <w:rtl/>
        </w:rPr>
        <w:t>:</w:t>
      </w:r>
      <w:r w:rsidRPr="00CF5816">
        <w:rPr>
          <w:rFonts w:ascii="Tahoma" w:hAnsi="Tahoma" w:hint="cs"/>
          <w:sz w:val="24"/>
          <w:rtl/>
        </w:rPr>
        <w:t xml:space="preserve"> </w:t>
      </w:r>
      <w:r>
        <w:rPr>
          <w:rFonts w:ascii="Tahoma" w:hAnsi="Tahoma" w:hint="cs"/>
          <w:sz w:val="24"/>
          <w:rtl/>
        </w:rPr>
        <w:t>«</w:t>
      </w:r>
      <w:r w:rsidRPr="00CF5816">
        <w:rPr>
          <w:rFonts w:ascii="Tahoma" w:hAnsi="Tahoma" w:hint="cs"/>
          <w:sz w:val="24"/>
          <w:rtl/>
        </w:rPr>
        <w:t>وَ لا تُلْقُوا بِأَيْديكُمْ إِلَى التَّهْلُكَة</w:t>
      </w:r>
      <w:r>
        <w:rPr>
          <w:rFonts w:ascii="Tahoma" w:hAnsi="Tahoma" w:hint="cs"/>
          <w:sz w:val="24"/>
          <w:rtl/>
        </w:rPr>
        <w:t>»</w:t>
      </w:r>
      <w:r>
        <w:rPr>
          <w:rStyle w:val="FootnoteReference"/>
          <w:rFonts w:ascii="Tahoma" w:hAnsi="Tahoma"/>
          <w:sz w:val="24"/>
          <w:rtl/>
        </w:rPr>
        <w:footnoteReference w:id="8"/>
      </w:r>
      <w:r w:rsidR="00246AB0" w:rsidRPr="00CF5816">
        <w:rPr>
          <w:rFonts w:ascii="Tahoma" w:hAnsi="Tahoma" w:hint="cs"/>
          <w:sz w:val="24"/>
          <w:rtl/>
        </w:rPr>
        <w:t>. ممکن است کسی بگوید کاری که حضر</w:t>
      </w:r>
      <w:r>
        <w:rPr>
          <w:rFonts w:ascii="Tahoma" w:hAnsi="Tahoma" w:hint="cs"/>
          <w:sz w:val="24"/>
          <w:rtl/>
        </w:rPr>
        <w:t>ت</w:t>
      </w:r>
      <w:r w:rsidR="00246AB0" w:rsidRPr="00CF5816">
        <w:rPr>
          <w:rFonts w:ascii="Tahoma" w:hAnsi="Tahoma" w:hint="cs"/>
          <w:sz w:val="24"/>
          <w:rtl/>
        </w:rPr>
        <w:t xml:space="preserve"> سید الشهدا </w:t>
      </w:r>
      <w:r w:rsidR="00EC6BC9">
        <w:rPr>
          <w:rFonts w:ascii="Tahoma" w:hAnsi="Tahoma" w:hint="cs"/>
          <w:sz w:val="24"/>
          <w:rtl/>
        </w:rPr>
        <w:t xml:space="preserve">سلام الله علیه </w:t>
      </w:r>
      <w:r w:rsidR="00246AB0" w:rsidRPr="00CF5816">
        <w:rPr>
          <w:rFonts w:ascii="Tahoma" w:hAnsi="Tahoma" w:hint="cs"/>
          <w:sz w:val="24"/>
          <w:rtl/>
        </w:rPr>
        <w:t>انجام داد</w:t>
      </w:r>
      <w:r w:rsidR="00EC6BC9">
        <w:rPr>
          <w:rFonts w:ascii="Tahoma" w:hAnsi="Tahoma" w:hint="cs"/>
          <w:sz w:val="24"/>
          <w:rtl/>
        </w:rPr>
        <w:t>،</w:t>
      </w:r>
      <w:r w:rsidR="00246AB0" w:rsidRPr="00CF5816">
        <w:rPr>
          <w:rFonts w:ascii="Tahoma" w:hAnsi="Tahoma" w:hint="cs"/>
          <w:sz w:val="24"/>
          <w:rtl/>
        </w:rPr>
        <w:t xml:space="preserve"> این منافات دارد با آیه کریمه، منتها وقتی شما آن 5 مطلب یاد شده را در نظر گرفتید، روح شریعت را در نظر گرفتی، </w:t>
      </w:r>
      <w:r w:rsidR="00B07D10">
        <w:rPr>
          <w:rFonts w:ascii="Tahoma" w:hAnsi="Tahoma" w:hint="cs"/>
          <w:sz w:val="24"/>
          <w:rtl/>
        </w:rPr>
        <w:t>مقاصد شریعت ر ادر نظر گرفتید، اه</w:t>
      </w:r>
      <w:r w:rsidR="00246AB0" w:rsidRPr="00CF5816">
        <w:rPr>
          <w:rFonts w:ascii="Tahoma" w:hAnsi="Tahoma" w:hint="cs"/>
          <w:sz w:val="24"/>
          <w:rtl/>
        </w:rPr>
        <w:t>تمام به امر به معروف و</w:t>
      </w:r>
      <w:r w:rsidR="00B07D10">
        <w:rPr>
          <w:rFonts w:ascii="Tahoma" w:hAnsi="Tahoma" w:hint="cs"/>
          <w:sz w:val="24"/>
          <w:rtl/>
        </w:rPr>
        <w:t xml:space="preserve"> </w:t>
      </w:r>
      <w:r w:rsidR="00246AB0" w:rsidRPr="00CF5816">
        <w:rPr>
          <w:rFonts w:ascii="Tahoma" w:hAnsi="Tahoma" w:hint="cs"/>
          <w:sz w:val="24"/>
          <w:rtl/>
        </w:rPr>
        <w:t>نهی از نمکر را در مراتب بالایش منظور کردید، می گویید اساسا این آیه اطلاقی نسبت به چنین مواردی ندارد.</w:t>
      </w:r>
    </w:p>
    <w:p w:rsidR="00246AB0" w:rsidRDefault="00246AB0" w:rsidP="00246AB0">
      <w:pPr>
        <w:pStyle w:val="ListParagraph"/>
        <w:spacing w:line="360" w:lineRule="auto"/>
        <w:jc w:val="lowKashida"/>
        <w:rPr>
          <w:rFonts w:ascii="Tahoma" w:hAnsi="Tahoma"/>
          <w:sz w:val="24"/>
          <w:rtl/>
        </w:rPr>
      </w:pPr>
      <w:r>
        <w:rPr>
          <w:rFonts w:ascii="Tahoma" w:hAnsi="Tahoma" w:hint="cs"/>
          <w:sz w:val="24"/>
          <w:rtl/>
        </w:rPr>
        <w:t>مثال سوم: قرآن کریم صراحتا با شدید ترین لسان ها ربا را حرام کرده است که در کمتر گناهی این شدت در بیان ملاح</w:t>
      </w:r>
      <w:r w:rsidR="00B07D10">
        <w:rPr>
          <w:rFonts w:ascii="Tahoma" w:hAnsi="Tahoma" w:hint="cs"/>
          <w:sz w:val="24"/>
          <w:rtl/>
        </w:rPr>
        <w:t>ظه می شود. حال من یک معامله ایی</w:t>
      </w:r>
      <w:r>
        <w:rPr>
          <w:rFonts w:ascii="Tahoma" w:hAnsi="Tahoma" w:hint="cs"/>
          <w:sz w:val="24"/>
          <w:rtl/>
        </w:rPr>
        <w:t xml:space="preserve"> در مورد کبریتی انجام دهم</w:t>
      </w:r>
      <w:r w:rsidR="00B07D10">
        <w:rPr>
          <w:rFonts w:ascii="Tahoma" w:hAnsi="Tahoma" w:hint="cs"/>
          <w:sz w:val="24"/>
          <w:rtl/>
        </w:rPr>
        <w:t>،</w:t>
      </w:r>
      <w:r>
        <w:rPr>
          <w:rFonts w:ascii="Tahoma" w:hAnsi="Tahoma" w:hint="cs"/>
          <w:sz w:val="24"/>
          <w:rtl/>
        </w:rPr>
        <w:t xml:space="preserve"> من باشم و </w:t>
      </w:r>
      <w:r w:rsidR="00B07D10">
        <w:rPr>
          <w:rFonts w:ascii="Tahoma" w:hAnsi="Tahoma" w:hint="cs"/>
          <w:sz w:val="24"/>
          <w:rtl/>
        </w:rPr>
        <w:t>«</w:t>
      </w:r>
      <w:r>
        <w:rPr>
          <w:rFonts w:ascii="Tahoma" w:hAnsi="Tahoma" w:hint="cs"/>
          <w:sz w:val="24"/>
          <w:rtl/>
        </w:rPr>
        <w:t>احل الله البیع</w:t>
      </w:r>
      <w:r w:rsidR="00B07D10">
        <w:rPr>
          <w:rFonts w:ascii="Tahoma" w:hAnsi="Tahoma" w:hint="cs"/>
          <w:sz w:val="24"/>
          <w:rtl/>
        </w:rPr>
        <w:t>»</w:t>
      </w:r>
      <w:r w:rsidR="00B07D10">
        <w:rPr>
          <w:rStyle w:val="FootnoteReference"/>
          <w:rFonts w:ascii="Tahoma" w:hAnsi="Tahoma"/>
          <w:sz w:val="24"/>
          <w:rtl/>
        </w:rPr>
        <w:footnoteReference w:id="9"/>
      </w:r>
      <w:r>
        <w:rPr>
          <w:rFonts w:ascii="Tahoma" w:hAnsi="Tahoma" w:hint="cs"/>
          <w:sz w:val="24"/>
          <w:rtl/>
        </w:rPr>
        <w:t xml:space="preserve"> درست است اما اگر</w:t>
      </w:r>
      <w:r w:rsidR="00B07D10">
        <w:rPr>
          <w:rFonts w:ascii="Tahoma" w:hAnsi="Tahoma" w:hint="cs"/>
          <w:sz w:val="24"/>
          <w:rtl/>
        </w:rPr>
        <w:t xml:space="preserve"> آن 5 مورد را دیدید باز هم می گوی</w:t>
      </w:r>
      <w:r>
        <w:rPr>
          <w:rFonts w:ascii="Tahoma" w:hAnsi="Tahoma" w:hint="cs"/>
          <w:sz w:val="24"/>
          <w:rtl/>
        </w:rPr>
        <w:t>د</w:t>
      </w:r>
      <w:r w:rsidR="00B07D10">
        <w:rPr>
          <w:rFonts w:ascii="Tahoma" w:hAnsi="Tahoma" w:hint="cs"/>
          <w:sz w:val="24"/>
          <w:rtl/>
        </w:rPr>
        <w:t>:</w:t>
      </w:r>
      <w:r>
        <w:rPr>
          <w:rFonts w:ascii="Tahoma" w:hAnsi="Tahoma" w:hint="cs"/>
          <w:sz w:val="24"/>
          <w:rtl/>
        </w:rPr>
        <w:t xml:space="preserve"> </w:t>
      </w:r>
      <w:r w:rsidR="00B07D10">
        <w:rPr>
          <w:rFonts w:ascii="Tahoma" w:hAnsi="Tahoma" w:hint="cs"/>
          <w:sz w:val="24"/>
          <w:rtl/>
        </w:rPr>
        <w:t>«</w:t>
      </w:r>
      <w:r>
        <w:rPr>
          <w:rFonts w:ascii="Tahoma" w:hAnsi="Tahoma" w:hint="cs"/>
          <w:sz w:val="24"/>
          <w:rtl/>
        </w:rPr>
        <w:t>احل الله البیع</w:t>
      </w:r>
      <w:r w:rsidR="00B07D10">
        <w:rPr>
          <w:rFonts w:ascii="Tahoma" w:hAnsi="Tahoma" w:hint="cs"/>
          <w:sz w:val="24"/>
          <w:rtl/>
        </w:rPr>
        <w:t>»</w:t>
      </w:r>
      <w:r w:rsidR="00B07D10">
        <w:rPr>
          <w:rStyle w:val="FootnoteReference"/>
          <w:rFonts w:ascii="Tahoma" w:hAnsi="Tahoma"/>
          <w:sz w:val="24"/>
          <w:rtl/>
        </w:rPr>
        <w:footnoteReference w:id="10"/>
      </w:r>
      <w:r w:rsidR="00B07D10">
        <w:rPr>
          <w:rFonts w:ascii="Tahoma" w:hAnsi="Tahoma" w:hint="cs"/>
          <w:sz w:val="24"/>
          <w:rtl/>
        </w:rPr>
        <w:t>.</w:t>
      </w:r>
    </w:p>
    <w:p w:rsidR="00246AB0" w:rsidRDefault="00246AB0" w:rsidP="00246AB0">
      <w:pPr>
        <w:pStyle w:val="ListParagraph"/>
        <w:numPr>
          <w:ilvl w:val="0"/>
          <w:numId w:val="23"/>
        </w:numPr>
        <w:spacing w:line="360" w:lineRule="auto"/>
        <w:jc w:val="lowKashida"/>
        <w:rPr>
          <w:rFonts w:ascii="Tahoma" w:hAnsi="Tahoma"/>
          <w:sz w:val="24"/>
        </w:rPr>
      </w:pPr>
      <w:r>
        <w:rPr>
          <w:rFonts w:ascii="Tahoma" w:hAnsi="Tahoma" w:hint="cs"/>
          <w:sz w:val="24"/>
          <w:rtl/>
        </w:rPr>
        <w:t>با تجمیع قرائن از جمله سنجش مصالح و مفاسد، روای</w:t>
      </w:r>
      <w:r w:rsidR="00B07D10">
        <w:rPr>
          <w:rFonts w:ascii="Tahoma" w:hAnsi="Tahoma" w:hint="cs"/>
          <w:sz w:val="24"/>
          <w:rtl/>
        </w:rPr>
        <w:t>ات حتی صحیح السند را کنار گذاشت</w:t>
      </w:r>
      <w:r>
        <w:rPr>
          <w:rFonts w:ascii="Tahoma" w:hAnsi="Tahoma" w:hint="cs"/>
          <w:sz w:val="24"/>
          <w:rtl/>
        </w:rPr>
        <w:t>ه</w:t>
      </w:r>
      <w:r w:rsidR="00B07D10">
        <w:rPr>
          <w:rFonts w:ascii="Tahoma" w:hAnsi="Tahoma" w:hint="cs"/>
          <w:sz w:val="24"/>
          <w:rtl/>
        </w:rPr>
        <w:t xml:space="preserve"> </w:t>
      </w:r>
      <w:r>
        <w:rPr>
          <w:rFonts w:ascii="Tahoma" w:hAnsi="Tahoma" w:hint="cs"/>
          <w:sz w:val="24"/>
          <w:rtl/>
        </w:rPr>
        <w:t xml:space="preserve">و به </w:t>
      </w:r>
      <w:r w:rsidR="00B07D10">
        <w:rPr>
          <w:rFonts w:ascii="Tahoma" w:hAnsi="Tahoma" w:hint="cs"/>
          <w:sz w:val="24"/>
          <w:rtl/>
        </w:rPr>
        <w:t>آن فتوا ندهیم و علم اش را نهایت</w:t>
      </w:r>
      <w:r>
        <w:rPr>
          <w:rFonts w:ascii="Tahoma" w:hAnsi="Tahoma" w:hint="cs"/>
          <w:sz w:val="24"/>
          <w:rtl/>
        </w:rPr>
        <w:t>ا</w:t>
      </w:r>
      <w:r w:rsidR="00B07D10">
        <w:rPr>
          <w:rFonts w:ascii="Tahoma" w:hAnsi="Tahoma" w:hint="cs"/>
          <w:sz w:val="24"/>
          <w:rtl/>
        </w:rPr>
        <w:t xml:space="preserve"> </w:t>
      </w:r>
      <w:r>
        <w:rPr>
          <w:rFonts w:ascii="Tahoma" w:hAnsi="Tahoma" w:hint="cs"/>
          <w:sz w:val="24"/>
          <w:rtl/>
        </w:rPr>
        <w:t xml:space="preserve">به اهل اش واگذار کنیم، مثال می زنم به بحث ربا در </w:t>
      </w:r>
      <w:r w:rsidR="00B07D10">
        <w:rPr>
          <w:rFonts w:ascii="Tahoma" w:hAnsi="Tahoma" w:hint="cs"/>
          <w:sz w:val="24"/>
          <w:rtl/>
        </w:rPr>
        <w:t>بحث حیل ربا که اگر بخواهی با آ</w:t>
      </w:r>
      <w:r>
        <w:rPr>
          <w:rFonts w:ascii="Tahoma" w:hAnsi="Tahoma" w:hint="cs"/>
          <w:sz w:val="24"/>
          <w:rtl/>
        </w:rPr>
        <w:t>ن روایات مشی کنی</w:t>
      </w:r>
      <w:r w:rsidR="00B07D10">
        <w:rPr>
          <w:rFonts w:ascii="Tahoma" w:hAnsi="Tahoma" w:hint="cs"/>
          <w:sz w:val="24"/>
          <w:rtl/>
        </w:rPr>
        <w:t>، اساسا باید بحث ربا ر</w:t>
      </w:r>
      <w:r>
        <w:rPr>
          <w:rFonts w:ascii="Tahoma" w:hAnsi="Tahoma" w:hint="cs"/>
          <w:sz w:val="24"/>
          <w:rtl/>
        </w:rPr>
        <w:t>ا</w:t>
      </w:r>
      <w:r w:rsidR="00B07D10">
        <w:rPr>
          <w:rFonts w:ascii="Tahoma" w:hAnsi="Tahoma" w:hint="cs"/>
          <w:sz w:val="24"/>
          <w:rtl/>
        </w:rPr>
        <w:t xml:space="preserve"> </w:t>
      </w:r>
      <w:r>
        <w:rPr>
          <w:rFonts w:ascii="Tahoma" w:hAnsi="Tahoma" w:hint="cs"/>
          <w:sz w:val="24"/>
          <w:rtl/>
        </w:rPr>
        <w:t>کنار گذاشت چون همه ربا قابل اصلاح است.</w:t>
      </w:r>
    </w:p>
    <w:p w:rsidR="00246AB0" w:rsidRDefault="00246AB0" w:rsidP="00246AB0">
      <w:pPr>
        <w:pStyle w:val="ListParagraph"/>
        <w:spacing w:line="360" w:lineRule="auto"/>
        <w:jc w:val="lowKashida"/>
        <w:rPr>
          <w:rFonts w:ascii="Tahoma" w:hAnsi="Tahoma"/>
          <w:sz w:val="24"/>
          <w:rtl/>
        </w:rPr>
      </w:pPr>
      <w:r w:rsidRPr="00246AB0">
        <w:rPr>
          <w:rFonts w:ascii="Tahoma" w:hAnsi="Tahoma" w:hint="cs"/>
          <w:sz w:val="24"/>
          <w:rtl/>
        </w:rPr>
        <w:t>مرحوم محقق خمینی در کتاب البیع بحث ربا روایت محمد بن اسحاق بن عمار را که سندا معتبره اند و چندان هم</w:t>
      </w:r>
      <w:r w:rsidR="00B07D10">
        <w:rPr>
          <w:rFonts w:ascii="Tahoma" w:hAnsi="Tahoma" w:hint="cs"/>
          <w:sz w:val="24"/>
          <w:rtl/>
        </w:rPr>
        <w:t xml:space="preserve"> قابل توجیه نیستند و دلالت اش ه</w:t>
      </w:r>
      <w:r w:rsidRPr="00246AB0">
        <w:rPr>
          <w:rFonts w:ascii="Tahoma" w:hAnsi="Tahoma" w:hint="cs"/>
          <w:sz w:val="24"/>
          <w:rtl/>
        </w:rPr>
        <w:t>م</w:t>
      </w:r>
      <w:r w:rsidR="00B07D10">
        <w:rPr>
          <w:rFonts w:ascii="Tahoma" w:hAnsi="Tahoma" w:hint="cs"/>
          <w:sz w:val="24"/>
          <w:rtl/>
        </w:rPr>
        <w:t xml:space="preserve"> </w:t>
      </w:r>
      <w:r w:rsidRPr="00246AB0">
        <w:rPr>
          <w:rFonts w:ascii="Tahoma" w:hAnsi="Tahoma" w:hint="cs"/>
          <w:sz w:val="24"/>
          <w:rtl/>
        </w:rPr>
        <w:t>خوب هست</w:t>
      </w:r>
      <w:r w:rsidR="00B07D10">
        <w:rPr>
          <w:rFonts w:ascii="Tahoma" w:hAnsi="Tahoma" w:hint="cs"/>
          <w:sz w:val="24"/>
          <w:rtl/>
        </w:rPr>
        <w:t>، می گوید این ها را کنار می گ</w:t>
      </w:r>
      <w:r>
        <w:rPr>
          <w:rFonts w:ascii="Tahoma" w:hAnsi="Tahoma" w:hint="cs"/>
          <w:sz w:val="24"/>
          <w:rtl/>
        </w:rPr>
        <w:t>ذاریم لمخالفته با نص قرآن.</w:t>
      </w:r>
    </w:p>
    <w:p w:rsidR="00946426" w:rsidRPr="00246AB0" w:rsidRDefault="00CA2007" w:rsidP="00246AB0">
      <w:pPr>
        <w:spacing w:line="360" w:lineRule="auto"/>
        <w:jc w:val="lowKashida"/>
        <w:rPr>
          <w:rFonts w:ascii="Tahoma" w:hAnsi="Tahoma"/>
          <w:sz w:val="24"/>
          <w:rtl/>
        </w:rPr>
      </w:pPr>
      <w:r w:rsidRPr="00246AB0">
        <w:rPr>
          <w:rFonts w:ascii="Tahoma" w:hAnsi="Tahoma" w:hint="cs"/>
          <w:sz w:val="24"/>
          <w:rtl/>
        </w:rPr>
        <w:lastRenderedPageBreak/>
        <w:t>و صلی</w:t>
      </w:r>
      <w:r w:rsidR="00946426" w:rsidRPr="00246AB0">
        <w:rPr>
          <w:rFonts w:ascii="Tahoma" w:hAnsi="Tahoma" w:hint="cs"/>
          <w:sz w:val="24"/>
          <w:rtl/>
        </w:rPr>
        <w:t xml:space="preserve"> الله علی محمدٍ و آله الطیّبین الطاهرین</w:t>
      </w:r>
      <w:r w:rsidR="00CE4CD3" w:rsidRPr="00246AB0">
        <w:rPr>
          <w:rFonts w:ascii="Tahoma" w:hAnsi="Tahoma" w:hint="cs"/>
          <w:sz w:val="24"/>
          <w:rtl/>
        </w:rPr>
        <w:t xml:space="preserve"> المعصومین</w:t>
      </w:r>
      <w:r w:rsidR="00946426" w:rsidRPr="00246AB0">
        <w:rPr>
          <w:rFonts w:ascii="Tahoma" w:hAnsi="Tahoma" w:hint="cs"/>
          <w:sz w:val="24"/>
          <w:rtl/>
        </w:rPr>
        <w:t>.</w:t>
      </w:r>
      <w:bookmarkStart w:id="0" w:name="_GoBack"/>
      <w:bookmarkEnd w:id="0"/>
    </w:p>
    <w:sectPr w:rsidR="00946426" w:rsidRPr="00246AB0"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EB9" w:rsidRDefault="00DE5EB9" w:rsidP="00842A39">
      <w:pPr>
        <w:spacing w:after="0" w:line="240" w:lineRule="auto"/>
      </w:pPr>
      <w:r>
        <w:separator/>
      </w:r>
    </w:p>
  </w:endnote>
  <w:endnote w:type="continuationSeparator" w:id="0">
    <w:p w:rsidR="00DE5EB9" w:rsidRDefault="00DE5EB9"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B07D10">
      <w:rPr>
        <w:rFonts w:ascii="Tahoma" w:hAnsi="Tahoma"/>
        <w:caps/>
        <w:noProof/>
        <w:sz w:val="24"/>
        <w:rtl/>
      </w:rPr>
      <w:t>5</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EB9" w:rsidRDefault="00DE5EB9" w:rsidP="00842A39">
      <w:pPr>
        <w:spacing w:after="0" w:line="240" w:lineRule="auto"/>
      </w:pPr>
      <w:r>
        <w:separator/>
      </w:r>
    </w:p>
  </w:footnote>
  <w:footnote w:type="continuationSeparator" w:id="0">
    <w:p w:rsidR="00DE5EB9" w:rsidRDefault="00DE5EB9" w:rsidP="00842A39">
      <w:pPr>
        <w:spacing w:after="0" w:line="240" w:lineRule="auto"/>
      </w:pPr>
      <w:r>
        <w:continuationSeparator/>
      </w:r>
    </w:p>
  </w:footnote>
  <w:footnote w:id="1">
    <w:p w:rsidR="00581DF8" w:rsidRDefault="00581DF8">
      <w:pPr>
        <w:pStyle w:val="FootnoteText"/>
        <w:rPr>
          <w:rFonts w:hint="cs"/>
        </w:rPr>
      </w:pPr>
      <w:r>
        <w:rPr>
          <w:rStyle w:val="FootnoteReference"/>
        </w:rPr>
        <w:footnoteRef/>
      </w:r>
      <w:r>
        <w:rPr>
          <w:rtl/>
        </w:rPr>
        <w:t xml:space="preserve"> </w:t>
      </w:r>
      <w:r>
        <w:rPr>
          <w:rFonts w:hint="cs"/>
          <w:rtl/>
        </w:rPr>
        <w:t>النحل: 90.</w:t>
      </w:r>
    </w:p>
  </w:footnote>
  <w:footnote w:id="2">
    <w:p w:rsidR="00581DF8" w:rsidRDefault="00581DF8">
      <w:pPr>
        <w:pStyle w:val="FootnoteText"/>
        <w:rPr>
          <w:rFonts w:hint="cs"/>
        </w:rPr>
      </w:pPr>
      <w:r>
        <w:rPr>
          <w:rStyle w:val="FootnoteReference"/>
        </w:rPr>
        <w:footnoteRef/>
      </w:r>
      <w:r>
        <w:rPr>
          <w:rtl/>
        </w:rPr>
        <w:t xml:space="preserve"> </w:t>
      </w:r>
      <w:r>
        <w:rPr>
          <w:rFonts w:hint="cs"/>
          <w:rtl/>
        </w:rPr>
        <w:t>الحدید: 25.</w:t>
      </w:r>
    </w:p>
  </w:footnote>
  <w:footnote w:id="3">
    <w:p w:rsidR="00581DF8" w:rsidRDefault="00581DF8">
      <w:pPr>
        <w:pStyle w:val="FootnoteText"/>
        <w:rPr>
          <w:rFonts w:hint="cs"/>
          <w:rtl/>
        </w:rPr>
      </w:pPr>
      <w:r>
        <w:rPr>
          <w:rStyle w:val="FootnoteReference"/>
        </w:rPr>
        <w:footnoteRef/>
      </w:r>
      <w:r>
        <w:rPr>
          <w:rtl/>
        </w:rPr>
        <w:t xml:space="preserve"> </w:t>
      </w:r>
      <w:r>
        <w:rPr>
          <w:rFonts w:hint="cs"/>
          <w:rtl/>
        </w:rPr>
        <w:t>المائده: 90</w:t>
      </w:r>
    </w:p>
  </w:footnote>
  <w:footnote w:id="4">
    <w:p w:rsidR="00CF5816" w:rsidRDefault="00CF5816">
      <w:pPr>
        <w:pStyle w:val="FootnoteText"/>
        <w:rPr>
          <w:rFonts w:hint="cs"/>
        </w:rPr>
      </w:pPr>
      <w:r>
        <w:rPr>
          <w:rStyle w:val="FootnoteReference"/>
        </w:rPr>
        <w:footnoteRef/>
      </w:r>
      <w:r>
        <w:rPr>
          <w:rtl/>
        </w:rPr>
        <w:t xml:space="preserve"> </w:t>
      </w:r>
      <w:r>
        <w:rPr>
          <w:rFonts w:hint="cs"/>
          <w:rtl/>
        </w:rPr>
        <w:t>البقرة: 275.</w:t>
      </w:r>
    </w:p>
  </w:footnote>
  <w:footnote w:id="5">
    <w:p w:rsidR="00CF5816" w:rsidRDefault="00CF5816">
      <w:pPr>
        <w:pStyle w:val="FootnoteText"/>
        <w:rPr>
          <w:rFonts w:hint="cs"/>
        </w:rPr>
      </w:pPr>
      <w:r>
        <w:rPr>
          <w:rStyle w:val="FootnoteReference"/>
        </w:rPr>
        <w:footnoteRef/>
      </w:r>
      <w:r>
        <w:rPr>
          <w:rtl/>
        </w:rPr>
        <w:t xml:space="preserve"> </w:t>
      </w:r>
      <w:r>
        <w:rPr>
          <w:rFonts w:hint="cs"/>
          <w:rtl/>
        </w:rPr>
        <w:t>همان.</w:t>
      </w:r>
    </w:p>
  </w:footnote>
  <w:footnote w:id="6">
    <w:p w:rsidR="00CF5816" w:rsidRDefault="00CF5816">
      <w:pPr>
        <w:pStyle w:val="FootnoteText"/>
        <w:rPr>
          <w:rFonts w:hint="cs"/>
        </w:rPr>
      </w:pPr>
      <w:r>
        <w:rPr>
          <w:rStyle w:val="FootnoteReference"/>
        </w:rPr>
        <w:footnoteRef/>
      </w:r>
      <w:r>
        <w:rPr>
          <w:rtl/>
        </w:rPr>
        <w:t xml:space="preserve"> </w:t>
      </w:r>
      <w:r>
        <w:rPr>
          <w:rFonts w:hint="cs"/>
          <w:rtl/>
        </w:rPr>
        <w:t>همان.</w:t>
      </w:r>
    </w:p>
  </w:footnote>
  <w:footnote w:id="7">
    <w:p w:rsidR="00CF5816" w:rsidRDefault="00CF5816">
      <w:pPr>
        <w:pStyle w:val="FootnoteText"/>
        <w:rPr>
          <w:rFonts w:hint="cs"/>
        </w:rPr>
      </w:pPr>
      <w:r>
        <w:rPr>
          <w:rStyle w:val="FootnoteReference"/>
        </w:rPr>
        <w:footnoteRef/>
      </w:r>
      <w:r>
        <w:rPr>
          <w:rtl/>
        </w:rPr>
        <w:t xml:space="preserve"> </w:t>
      </w:r>
      <w:r>
        <w:rPr>
          <w:rFonts w:hint="cs"/>
          <w:rtl/>
        </w:rPr>
        <w:t>همان.</w:t>
      </w:r>
    </w:p>
  </w:footnote>
  <w:footnote w:id="8">
    <w:p w:rsidR="00CF5816" w:rsidRDefault="00CF5816">
      <w:pPr>
        <w:pStyle w:val="FootnoteText"/>
        <w:rPr>
          <w:rFonts w:hint="cs"/>
          <w:rtl/>
        </w:rPr>
      </w:pPr>
      <w:r>
        <w:rPr>
          <w:rStyle w:val="FootnoteReference"/>
        </w:rPr>
        <w:footnoteRef/>
      </w:r>
      <w:r>
        <w:rPr>
          <w:rtl/>
        </w:rPr>
        <w:t xml:space="preserve"> </w:t>
      </w:r>
      <w:r>
        <w:rPr>
          <w:rFonts w:hint="cs"/>
          <w:rtl/>
        </w:rPr>
        <w:t>البقرة: 195.</w:t>
      </w:r>
    </w:p>
  </w:footnote>
  <w:footnote w:id="9">
    <w:p w:rsidR="00B07D10" w:rsidRDefault="00B07D10">
      <w:pPr>
        <w:pStyle w:val="FootnoteText"/>
        <w:rPr>
          <w:rFonts w:hint="cs"/>
          <w:rtl/>
        </w:rPr>
      </w:pPr>
      <w:r>
        <w:rPr>
          <w:rStyle w:val="FootnoteReference"/>
        </w:rPr>
        <w:footnoteRef/>
      </w:r>
      <w:r>
        <w:rPr>
          <w:rtl/>
        </w:rPr>
        <w:t xml:space="preserve"> </w:t>
      </w:r>
      <w:r>
        <w:rPr>
          <w:rFonts w:hint="cs"/>
          <w:rtl/>
        </w:rPr>
        <w:t>البقرة: 275.</w:t>
      </w:r>
    </w:p>
  </w:footnote>
  <w:footnote w:id="10">
    <w:p w:rsidR="00B07D10" w:rsidRDefault="00B07D10">
      <w:pPr>
        <w:pStyle w:val="FootnoteText"/>
        <w:rPr>
          <w:rFonts w:hint="cs"/>
        </w:rPr>
      </w:pPr>
      <w:r>
        <w:rPr>
          <w:rStyle w:val="FootnoteReference"/>
        </w:rPr>
        <w:footnoteRef/>
      </w:r>
      <w:r>
        <w:rPr>
          <w:rtl/>
        </w:rPr>
        <w:t xml:space="preserve"> </w:t>
      </w:r>
      <w:r>
        <w:rPr>
          <w:rFonts w:hint="cs"/>
          <w:rtl/>
        </w:rPr>
        <w:t>همان.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2"/>
  </w:num>
  <w:num w:numId="4">
    <w:abstractNumId w:val="10"/>
  </w:num>
  <w:num w:numId="5">
    <w:abstractNumId w:val="13"/>
  </w:num>
  <w:num w:numId="6">
    <w:abstractNumId w:val="20"/>
  </w:num>
  <w:num w:numId="7">
    <w:abstractNumId w:val="12"/>
  </w:num>
  <w:num w:numId="8">
    <w:abstractNumId w:val="21"/>
  </w:num>
  <w:num w:numId="9">
    <w:abstractNumId w:val="14"/>
  </w:num>
  <w:num w:numId="10">
    <w:abstractNumId w:val="4"/>
  </w:num>
  <w:num w:numId="11">
    <w:abstractNumId w:val="15"/>
  </w:num>
  <w:num w:numId="12">
    <w:abstractNumId w:val="8"/>
  </w:num>
  <w:num w:numId="13">
    <w:abstractNumId w:val="17"/>
  </w:num>
  <w:num w:numId="14">
    <w:abstractNumId w:val="3"/>
  </w:num>
  <w:num w:numId="15">
    <w:abstractNumId w:val="1"/>
  </w:num>
  <w:num w:numId="16">
    <w:abstractNumId w:val="0"/>
  </w:num>
  <w:num w:numId="17">
    <w:abstractNumId w:val="7"/>
  </w:num>
  <w:num w:numId="18">
    <w:abstractNumId w:val="18"/>
  </w:num>
  <w:num w:numId="19">
    <w:abstractNumId w:val="5"/>
  </w:num>
  <w:num w:numId="20">
    <w:abstractNumId w:val="6"/>
  </w:num>
  <w:num w:numId="21">
    <w:abstractNumId w:val="9"/>
  </w:num>
  <w:num w:numId="22">
    <w:abstractNumId w:val="19"/>
  </w:num>
  <w:num w:numId="2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3439"/>
    <w:rsid w:val="00044108"/>
    <w:rsid w:val="000477E9"/>
    <w:rsid w:val="00052832"/>
    <w:rsid w:val="00085160"/>
    <w:rsid w:val="00087685"/>
    <w:rsid w:val="00097356"/>
    <w:rsid w:val="000A58ED"/>
    <w:rsid w:val="000B3902"/>
    <w:rsid w:val="000B418D"/>
    <w:rsid w:val="000B48DA"/>
    <w:rsid w:val="000C3AE8"/>
    <w:rsid w:val="000C6B1B"/>
    <w:rsid w:val="000C7D9D"/>
    <w:rsid w:val="000E1090"/>
    <w:rsid w:val="000E13EE"/>
    <w:rsid w:val="000E32EE"/>
    <w:rsid w:val="000E45C7"/>
    <w:rsid w:val="000E5A67"/>
    <w:rsid w:val="000E5E99"/>
    <w:rsid w:val="000F0A4F"/>
    <w:rsid w:val="000F38C2"/>
    <w:rsid w:val="000F5028"/>
    <w:rsid w:val="000F72B4"/>
    <w:rsid w:val="001067C9"/>
    <w:rsid w:val="00113436"/>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5710"/>
    <w:rsid w:val="001D64EA"/>
    <w:rsid w:val="001E1DD2"/>
    <w:rsid w:val="001E5442"/>
    <w:rsid w:val="001E70CC"/>
    <w:rsid w:val="00210675"/>
    <w:rsid w:val="002124EA"/>
    <w:rsid w:val="00215CB0"/>
    <w:rsid w:val="0022102C"/>
    <w:rsid w:val="002243C4"/>
    <w:rsid w:val="00233EE5"/>
    <w:rsid w:val="00240BF0"/>
    <w:rsid w:val="00244282"/>
    <w:rsid w:val="00246AB0"/>
    <w:rsid w:val="002514E0"/>
    <w:rsid w:val="0025398A"/>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18C6"/>
    <w:rsid w:val="003046D5"/>
    <w:rsid w:val="0032234C"/>
    <w:rsid w:val="00323902"/>
    <w:rsid w:val="00323DC9"/>
    <w:rsid w:val="003311C1"/>
    <w:rsid w:val="003338C4"/>
    <w:rsid w:val="00335DB7"/>
    <w:rsid w:val="00336EA1"/>
    <w:rsid w:val="00341063"/>
    <w:rsid w:val="00350F83"/>
    <w:rsid w:val="003562D2"/>
    <w:rsid w:val="00372938"/>
    <w:rsid w:val="003817BC"/>
    <w:rsid w:val="00382FAE"/>
    <w:rsid w:val="00386F45"/>
    <w:rsid w:val="00393DEC"/>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651"/>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1535A"/>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1DF8"/>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0AA7"/>
    <w:rsid w:val="00653766"/>
    <w:rsid w:val="006568AB"/>
    <w:rsid w:val="00661E6B"/>
    <w:rsid w:val="006657BA"/>
    <w:rsid w:val="00665DE1"/>
    <w:rsid w:val="006753D6"/>
    <w:rsid w:val="0068004E"/>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02A8"/>
    <w:rsid w:val="007F2B99"/>
    <w:rsid w:val="007F7F92"/>
    <w:rsid w:val="00802109"/>
    <w:rsid w:val="00803A98"/>
    <w:rsid w:val="00804A64"/>
    <w:rsid w:val="008053ED"/>
    <w:rsid w:val="00814F95"/>
    <w:rsid w:val="0081682D"/>
    <w:rsid w:val="00817A5C"/>
    <w:rsid w:val="00817B1B"/>
    <w:rsid w:val="008203E5"/>
    <w:rsid w:val="00830E4A"/>
    <w:rsid w:val="00833D27"/>
    <w:rsid w:val="00842A39"/>
    <w:rsid w:val="0084327E"/>
    <w:rsid w:val="00844436"/>
    <w:rsid w:val="008516AC"/>
    <w:rsid w:val="00851D66"/>
    <w:rsid w:val="00853A7F"/>
    <w:rsid w:val="00855A70"/>
    <w:rsid w:val="00873C85"/>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61D4"/>
    <w:rsid w:val="00A567E9"/>
    <w:rsid w:val="00A73690"/>
    <w:rsid w:val="00A74D9F"/>
    <w:rsid w:val="00A82C09"/>
    <w:rsid w:val="00A85A2E"/>
    <w:rsid w:val="00A91096"/>
    <w:rsid w:val="00A95A6A"/>
    <w:rsid w:val="00A96762"/>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CF5816"/>
    <w:rsid w:val="00D00276"/>
    <w:rsid w:val="00D01685"/>
    <w:rsid w:val="00D06F63"/>
    <w:rsid w:val="00D13BB5"/>
    <w:rsid w:val="00D2241B"/>
    <w:rsid w:val="00D228DA"/>
    <w:rsid w:val="00D240A0"/>
    <w:rsid w:val="00D351F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C6BC9"/>
    <w:rsid w:val="00ED15E6"/>
    <w:rsid w:val="00EE073E"/>
    <w:rsid w:val="00EE1116"/>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59C3"/>
    <w:rsid w:val="00F91336"/>
    <w:rsid w:val="00F93225"/>
    <w:rsid w:val="00F938C5"/>
    <w:rsid w:val="00F94595"/>
    <w:rsid w:val="00F94EB2"/>
    <w:rsid w:val="00F9560C"/>
    <w:rsid w:val="00FA0F4E"/>
    <w:rsid w:val="00FB2C89"/>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A8F0F"/>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A1625"/>
    <w:rsid w:val="003D4FBC"/>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885141"/>
    <w:rsid w:val="00892FD1"/>
    <w:rsid w:val="009145D7"/>
    <w:rsid w:val="00A03993"/>
    <w:rsid w:val="00A3477C"/>
    <w:rsid w:val="00A42B0D"/>
    <w:rsid w:val="00A84E91"/>
    <w:rsid w:val="00AD3BC4"/>
    <w:rsid w:val="00B56443"/>
    <w:rsid w:val="00B72840"/>
    <w:rsid w:val="00B74164"/>
    <w:rsid w:val="00B80874"/>
    <w:rsid w:val="00B86201"/>
    <w:rsid w:val="00B92A69"/>
    <w:rsid w:val="00BA1DE5"/>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84CB-4175-4B44-9D4E-5E4FB93F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3704</TotalTime>
  <Pages>5</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377</cp:revision>
  <cp:lastPrinted>2017-01-08T11:02:00Z</cp:lastPrinted>
  <dcterms:created xsi:type="dcterms:W3CDTF">2016-10-30T11:44:00Z</dcterms:created>
  <dcterms:modified xsi:type="dcterms:W3CDTF">2017-04-16T10:37:00Z</dcterms:modified>
</cp:coreProperties>
</file>